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B10" w:rsidRPr="00157417" w:rsidRDefault="00732B10" w:rsidP="00732B10">
      <w:pPr>
        <w:spacing w:after="0" w:line="240" w:lineRule="exact"/>
        <w:jc w:val="center"/>
        <w:rPr>
          <w:rFonts w:ascii="Times New Roman" w:hAnsi="Times New Roman"/>
          <w:b/>
          <w:sz w:val="28"/>
          <w:szCs w:val="28"/>
        </w:rPr>
      </w:pPr>
      <w:r w:rsidRPr="00157417">
        <w:rPr>
          <w:rFonts w:ascii="Times New Roman" w:hAnsi="Times New Roman"/>
          <w:b/>
          <w:sz w:val="28"/>
          <w:szCs w:val="28"/>
        </w:rPr>
        <w:t>Выступление</w:t>
      </w:r>
    </w:p>
    <w:p w:rsidR="00732B10" w:rsidRPr="00157417" w:rsidRDefault="00732B10" w:rsidP="00732B10">
      <w:pPr>
        <w:spacing w:after="0" w:line="240" w:lineRule="exact"/>
        <w:jc w:val="center"/>
        <w:rPr>
          <w:rFonts w:ascii="Times New Roman" w:hAnsi="Times New Roman"/>
          <w:b/>
          <w:sz w:val="28"/>
          <w:szCs w:val="28"/>
        </w:rPr>
      </w:pPr>
      <w:r w:rsidRPr="00157417">
        <w:rPr>
          <w:rFonts w:ascii="Times New Roman" w:hAnsi="Times New Roman"/>
          <w:b/>
          <w:sz w:val="28"/>
          <w:szCs w:val="28"/>
        </w:rPr>
        <w:t>на Коллегии министерства финансов Чеченской Республики</w:t>
      </w:r>
    </w:p>
    <w:p w:rsidR="00732B10" w:rsidRPr="00157417" w:rsidRDefault="00732B10" w:rsidP="00732B10">
      <w:pPr>
        <w:spacing w:after="0" w:line="240" w:lineRule="exact"/>
        <w:jc w:val="center"/>
        <w:rPr>
          <w:rFonts w:ascii="Times New Roman" w:hAnsi="Times New Roman"/>
          <w:b/>
          <w:sz w:val="28"/>
          <w:szCs w:val="28"/>
        </w:rPr>
      </w:pPr>
      <w:r w:rsidRPr="00157417">
        <w:rPr>
          <w:rFonts w:ascii="Times New Roman" w:hAnsi="Times New Roman"/>
          <w:b/>
          <w:sz w:val="28"/>
          <w:szCs w:val="28"/>
        </w:rPr>
        <w:t>«Итоги исполнения консолидированного бюджета Чеченской республики за 2013 год»</w:t>
      </w:r>
    </w:p>
    <w:p w:rsidR="00732B10" w:rsidRDefault="00732B10" w:rsidP="00732B10">
      <w:pPr>
        <w:spacing w:after="0" w:line="300" w:lineRule="auto"/>
        <w:ind w:firstLine="567"/>
        <w:jc w:val="both"/>
        <w:rPr>
          <w:rFonts w:ascii="Times New Roman" w:hAnsi="Times New Roman"/>
          <w:sz w:val="28"/>
          <w:szCs w:val="28"/>
        </w:rPr>
      </w:pPr>
    </w:p>
    <w:p w:rsidR="00732B10" w:rsidRDefault="00732B10" w:rsidP="00732B10">
      <w:pPr>
        <w:spacing w:after="0" w:line="300" w:lineRule="auto"/>
        <w:ind w:firstLine="567"/>
        <w:jc w:val="both"/>
        <w:rPr>
          <w:rFonts w:ascii="Times New Roman" w:hAnsi="Times New Roman"/>
          <w:sz w:val="28"/>
          <w:szCs w:val="28"/>
        </w:rPr>
      </w:pPr>
    </w:p>
    <w:p w:rsidR="00732B10" w:rsidRPr="001007EB" w:rsidRDefault="00732B10" w:rsidP="00732B10">
      <w:pPr>
        <w:spacing w:after="0" w:line="300" w:lineRule="auto"/>
        <w:ind w:firstLine="567"/>
        <w:jc w:val="both"/>
        <w:rPr>
          <w:rFonts w:ascii="Times New Roman" w:hAnsi="Times New Roman"/>
          <w:b/>
          <w:sz w:val="28"/>
          <w:szCs w:val="28"/>
        </w:rPr>
      </w:pPr>
      <w:r w:rsidRPr="001007EB">
        <w:rPr>
          <w:rFonts w:ascii="Times New Roman" w:hAnsi="Times New Roman"/>
          <w:b/>
          <w:sz w:val="28"/>
          <w:szCs w:val="28"/>
        </w:rPr>
        <w:t xml:space="preserve">Уважаемые коллеги! </w:t>
      </w:r>
    </w:p>
    <w:p w:rsidR="00732B10" w:rsidRDefault="00732B10" w:rsidP="00732B10">
      <w:pPr>
        <w:spacing w:after="0" w:line="360" w:lineRule="auto"/>
        <w:ind w:firstLine="709"/>
        <w:jc w:val="both"/>
        <w:rPr>
          <w:rFonts w:ascii="Times New Roman" w:hAnsi="Times New Roman"/>
          <w:sz w:val="28"/>
          <w:szCs w:val="28"/>
        </w:rPr>
      </w:pPr>
    </w:p>
    <w:p w:rsidR="00732B10" w:rsidRDefault="00732B10" w:rsidP="00732B10">
      <w:pPr>
        <w:spacing w:after="0" w:line="360" w:lineRule="auto"/>
        <w:ind w:firstLine="709"/>
        <w:jc w:val="both"/>
        <w:rPr>
          <w:rFonts w:ascii="Times New Roman" w:hAnsi="Times New Roman"/>
          <w:sz w:val="28"/>
          <w:szCs w:val="28"/>
        </w:rPr>
      </w:pPr>
      <w:r w:rsidRPr="001D55DD">
        <w:rPr>
          <w:rFonts w:ascii="Times New Roman" w:hAnsi="Times New Roman"/>
          <w:sz w:val="28"/>
          <w:szCs w:val="28"/>
        </w:rPr>
        <w:t>Бюджетная си</w:t>
      </w:r>
      <w:r>
        <w:rPr>
          <w:rFonts w:ascii="Times New Roman" w:hAnsi="Times New Roman"/>
          <w:sz w:val="28"/>
          <w:szCs w:val="28"/>
        </w:rPr>
        <w:t>стема является ключевым звеном</w:t>
      </w:r>
      <w:r w:rsidRPr="001D55DD">
        <w:rPr>
          <w:rFonts w:ascii="Times New Roman" w:hAnsi="Times New Roman"/>
          <w:sz w:val="28"/>
          <w:szCs w:val="28"/>
        </w:rPr>
        <w:t xml:space="preserve"> финансовой системы страны и всей системы социально-экономических отношений общества любого государства. </w:t>
      </w:r>
      <w:r>
        <w:rPr>
          <w:rFonts w:ascii="Times New Roman" w:hAnsi="Times New Roman"/>
          <w:sz w:val="28"/>
          <w:szCs w:val="28"/>
        </w:rPr>
        <w:t>Безусловно, необходимо учитывать существующее взаимное влияния этих систем на стабильность и сбалансированное функционирование  каждой из них. Поэтому перед тем как перейти к оценке и анализу итогов исполнения консолидированного бюджета Чеченской республики за отчетный год разрешите коснуться базовых параметров состояния региональной, национальной и мировой экономик.</w:t>
      </w:r>
    </w:p>
    <w:p w:rsidR="00732B10" w:rsidRPr="00157417" w:rsidRDefault="00732B10" w:rsidP="00732B10">
      <w:pPr>
        <w:spacing w:after="0" w:line="360" w:lineRule="auto"/>
        <w:jc w:val="both"/>
        <w:rPr>
          <w:rFonts w:ascii="Times New Roman" w:hAnsi="Times New Roman"/>
          <w:b/>
          <w:sz w:val="28"/>
          <w:szCs w:val="28"/>
        </w:rPr>
      </w:pPr>
    </w:p>
    <w:p w:rsidR="00732B10" w:rsidRPr="002F06B6" w:rsidRDefault="00732B10" w:rsidP="00732B10">
      <w:pPr>
        <w:spacing w:after="0" w:line="360" w:lineRule="auto"/>
        <w:jc w:val="both"/>
        <w:rPr>
          <w:rFonts w:ascii="Times New Roman" w:hAnsi="Times New Roman"/>
          <w:b/>
          <w:sz w:val="28"/>
          <w:szCs w:val="28"/>
        </w:rPr>
      </w:pPr>
      <w:r>
        <w:rPr>
          <w:rFonts w:ascii="Times New Roman" w:hAnsi="Times New Roman"/>
          <w:b/>
          <w:sz w:val="28"/>
          <w:szCs w:val="28"/>
          <w:lang w:val="en-US"/>
        </w:rPr>
        <w:t>I</w:t>
      </w:r>
      <w:r>
        <w:rPr>
          <w:rFonts w:ascii="Times New Roman" w:hAnsi="Times New Roman"/>
          <w:b/>
          <w:sz w:val="28"/>
          <w:szCs w:val="28"/>
        </w:rPr>
        <w:t xml:space="preserve">. </w:t>
      </w:r>
      <w:r w:rsidRPr="002F06B6">
        <w:rPr>
          <w:rFonts w:ascii="Times New Roman" w:hAnsi="Times New Roman"/>
          <w:b/>
          <w:sz w:val="28"/>
          <w:szCs w:val="28"/>
        </w:rPr>
        <w:t>Макроэкономическое положение</w:t>
      </w:r>
    </w:p>
    <w:p w:rsidR="00732B10" w:rsidRPr="004E3273" w:rsidRDefault="00732B10" w:rsidP="00732B10">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Темпы роста мировой экономики в 2013 году  в 2,8% стали самыми низкими со времен финансового кризиса с 2009 года. </w:t>
      </w:r>
      <w:r w:rsidRPr="0062590B">
        <w:rPr>
          <w:rFonts w:ascii="Times New Roman" w:hAnsi="Times New Roman"/>
          <w:sz w:val="28"/>
          <w:szCs w:val="28"/>
        </w:rPr>
        <w:t>Рост экономик развитых стран</w:t>
      </w:r>
      <w:r>
        <w:rPr>
          <w:rFonts w:ascii="Times New Roman" w:hAnsi="Times New Roman"/>
          <w:sz w:val="28"/>
          <w:szCs w:val="28"/>
        </w:rPr>
        <w:t xml:space="preserve"> в 2013 году составил 1,3</w:t>
      </w:r>
      <w:proofErr w:type="gramStart"/>
      <w:r>
        <w:rPr>
          <w:rFonts w:ascii="Times New Roman" w:hAnsi="Times New Roman"/>
          <w:sz w:val="28"/>
          <w:szCs w:val="28"/>
        </w:rPr>
        <w:t>% ,</w:t>
      </w:r>
      <w:proofErr w:type="gramEnd"/>
      <w:r>
        <w:rPr>
          <w:rFonts w:ascii="Times New Roman" w:hAnsi="Times New Roman"/>
          <w:sz w:val="28"/>
          <w:szCs w:val="28"/>
        </w:rPr>
        <w:t xml:space="preserve"> в том числе ВВП  </w:t>
      </w:r>
      <w:r w:rsidRPr="004E3273">
        <w:rPr>
          <w:rFonts w:ascii="Times New Roman" w:hAnsi="Times New Roman"/>
          <w:sz w:val="28"/>
          <w:szCs w:val="28"/>
        </w:rPr>
        <w:t>США в 2013 году</w:t>
      </w:r>
      <w:r>
        <w:rPr>
          <w:rFonts w:ascii="Times New Roman" w:hAnsi="Times New Roman"/>
          <w:sz w:val="28"/>
          <w:szCs w:val="28"/>
        </w:rPr>
        <w:t xml:space="preserve"> вырос на 1,9%;</w:t>
      </w:r>
      <w:r w:rsidRPr="004E3273">
        <w:rPr>
          <w:rFonts w:ascii="Times New Roman" w:hAnsi="Times New Roman"/>
          <w:sz w:val="28"/>
          <w:szCs w:val="28"/>
        </w:rPr>
        <w:t xml:space="preserve"> </w:t>
      </w:r>
      <w:r>
        <w:rPr>
          <w:rFonts w:ascii="Times New Roman" w:hAnsi="Times New Roman"/>
          <w:sz w:val="28"/>
          <w:szCs w:val="28"/>
        </w:rPr>
        <w:t xml:space="preserve"> </w:t>
      </w:r>
      <w:r w:rsidRPr="004E3273">
        <w:rPr>
          <w:rFonts w:ascii="Times New Roman" w:hAnsi="Times New Roman"/>
          <w:sz w:val="28"/>
          <w:szCs w:val="28"/>
        </w:rPr>
        <w:t>ЕС – на 0,0%;</w:t>
      </w:r>
      <w:r>
        <w:rPr>
          <w:rFonts w:ascii="Times New Roman" w:hAnsi="Times New Roman"/>
          <w:sz w:val="28"/>
          <w:szCs w:val="28"/>
        </w:rPr>
        <w:t xml:space="preserve"> </w:t>
      </w:r>
      <w:r w:rsidRPr="004E3273">
        <w:rPr>
          <w:rFonts w:ascii="Times New Roman" w:hAnsi="Times New Roman"/>
          <w:sz w:val="28"/>
          <w:szCs w:val="28"/>
        </w:rPr>
        <w:t xml:space="preserve">Японии - на 1,7%; Китая  -  на 7,6%; </w:t>
      </w:r>
      <w:r>
        <w:rPr>
          <w:rFonts w:ascii="Times New Roman" w:hAnsi="Times New Roman"/>
          <w:sz w:val="28"/>
          <w:szCs w:val="28"/>
        </w:rPr>
        <w:t xml:space="preserve"> </w:t>
      </w:r>
      <w:r w:rsidRPr="004E3273">
        <w:rPr>
          <w:rFonts w:ascii="Times New Roman" w:hAnsi="Times New Roman"/>
          <w:sz w:val="28"/>
          <w:szCs w:val="28"/>
        </w:rPr>
        <w:t>Р</w:t>
      </w:r>
      <w:r>
        <w:rPr>
          <w:rFonts w:ascii="Times New Roman" w:hAnsi="Times New Roman"/>
          <w:sz w:val="28"/>
          <w:szCs w:val="28"/>
        </w:rPr>
        <w:t xml:space="preserve">оссийской </w:t>
      </w:r>
      <w:r w:rsidRPr="004E3273">
        <w:rPr>
          <w:rFonts w:ascii="Times New Roman" w:hAnsi="Times New Roman"/>
          <w:sz w:val="28"/>
          <w:szCs w:val="28"/>
        </w:rPr>
        <w:t>Ф</w:t>
      </w:r>
      <w:r>
        <w:rPr>
          <w:rFonts w:ascii="Times New Roman" w:hAnsi="Times New Roman"/>
          <w:sz w:val="28"/>
          <w:szCs w:val="28"/>
        </w:rPr>
        <w:t xml:space="preserve">едерации </w:t>
      </w:r>
      <w:r w:rsidRPr="004E3273">
        <w:rPr>
          <w:rFonts w:ascii="Times New Roman" w:hAnsi="Times New Roman"/>
          <w:sz w:val="28"/>
          <w:szCs w:val="28"/>
        </w:rPr>
        <w:t xml:space="preserve"> - на 1,3%. </w:t>
      </w:r>
    </w:p>
    <w:p w:rsidR="00732B10" w:rsidRDefault="00732B10" w:rsidP="00732B10">
      <w:pPr>
        <w:spacing w:after="0" w:line="360" w:lineRule="auto"/>
        <w:jc w:val="both"/>
        <w:rPr>
          <w:rFonts w:ascii="Times New Roman" w:hAnsi="Times New Roman"/>
          <w:sz w:val="28"/>
          <w:szCs w:val="28"/>
        </w:rPr>
      </w:pPr>
      <w:r>
        <w:rPr>
          <w:rFonts w:ascii="Times New Roman" w:hAnsi="Times New Roman"/>
          <w:sz w:val="28"/>
          <w:szCs w:val="28"/>
        </w:rPr>
        <w:t xml:space="preserve">         </w:t>
      </w:r>
      <w:r w:rsidRPr="006D6F12">
        <w:rPr>
          <w:rFonts w:ascii="Times New Roman" w:hAnsi="Times New Roman"/>
          <w:sz w:val="28"/>
          <w:szCs w:val="28"/>
        </w:rPr>
        <w:t xml:space="preserve">Стагнация </w:t>
      </w:r>
      <w:r>
        <w:rPr>
          <w:rFonts w:ascii="Times New Roman" w:hAnsi="Times New Roman"/>
          <w:sz w:val="28"/>
          <w:szCs w:val="28"/>
        </w:rPr>
        <w:t xml:space="preserve">российской </w:t>
      </w:r>
      <w:r w:rsidRPr="006D6F12">
        <w:rPr>
          <w:rFonts w:ascii="Times New Roman" w:hAnsi="Times New Roman"/>
          <w:sz w:val="28"/>
          <w:szCs w:val="28"/>
        </w:rPr>
        <w:t>экономики в 2013 году вызвана не только внешними факторами</w:t>
      </w:r>
      <w:r>
        <w:rPr>
          <w:rFonts w:ascii="Times New Roman" w:hAnsi="Times New Roman"/>
          <w:sz w:val="28"/>
          <w:szCs w:val="28"/>
        </w:rPr>
        <w:t xml:space="preserve">. </w:t>
      </w:r>
      <w:r w:rsidRPr="006D6F12">
        <w:rPr>
          <w:rFonts w:ascii="Times New Roman" w:hAnsi="Times New Roman"/>
          <w:sz w:val="28"/>
          <w:szCs w:val="28"/>
        </w:rPr>
        <w:t xml:space="preserve">Отчетный 2013 год завершился </w:t>
      </w:r>
      <w:r>
        <w:rPr>
          <w:rFonts w:ascii="Times New Roman" w:hAnsi="Times New Roman"/>
          <w:sz w:val="28"/>
          <w:szCs w:val="28"/>
        </w:rPr>
        <w:t xml:space="preserve">для РФ </w:t>
      </w:r>
      <w:r w:rsidRPr="006D6F12">
        <w:rPr>
          <w:rFonts w:ascii="Times New Roman" w:hAnsi="Times New Roman"/>
          <w:sz w:val="28"/>
          <w:szCs w:val="28"/>
        </w:rPr>
        <w:t>и спадом инвестиций, сокращением промышленного производства.</w:t>
      </w:r>
      <w:r>
        <w:rPr>
          <w:rFonts w:ascii="Times New Roman" w:hAnsi="Times New Roman"/>
          <w:sz w:val="28"/>
          <w:szCs w:val="28"/>
        </w:rPr>
        <w:t xml:space="preserve"> В 2013 году по сравнению с 2012 годом имело место абсолютное сокращение инвестиций в основной капитал. Динамика основных показателей социально-экономического развития Российской Федерации за период 2008-2013 гг. приведена на слайде №1. </w:t>
      </w:r>
    </w:p>
    <w:p w:rsidR="00732B10" w:rsidRPr="00094965" w:rsidRDefault="00732B10" w:rsidP="00732B10">
      <w:pPr>
        <w:autoSpaceDE w:val="0"/>
        <w:autoSpaceDN w:val="0"/>
        <w:adjustRightInd w:val="0"/>
        <w:spacing w:after="0" w:line="240" w:lineRule="auto"/>
        <w:jc w:val="right"/>
        <w:rPr>
          <w:rFonts w:ascii="Times New Roman" w:hAnsi="Times New Roman"/>
          <w:b/>
          <w:bCs/>
          <w:color w:val="000000"/>
          <w:sz w:val="28"/>
          <w:szCs w:val="28"/>
        </w:rPr>
      </w:pPr>
      <w:r>
        <w:rPr>
          <w:rFonts w:ascii="Times New Roman" w:hAnsi="Times New Roman"/>
          <w:b/>
          <w:bCs/>
          <w:color w:val="000000"/>
          <w:sz w:val="28"/>
          <w:szCs w:val="28"/>
        </w:rPr>
        <w:t>Слайд № 1</w:t>
      </w:r>
      <w:r w:rsidRPr="00094965">
        <w:rPr>
          <w:rFonts w:ascii="Times New Roman" w:hAnsi="Times New Roman"/>
          <w:b/>
          <w:bCs/>
          <w:color w:val="000000"/>
          <w:sz w:val="28"/>
          <w:szCs w:val="28"/>
        </w:rPr>
        <w:t xml:space="preserve"> </w:t>
      </w:r>
    </w:p>
    <w:p w:rsidR="00732B10" w:rsidRPr="009320EA" w:rsidRDefault="00732B10" w:rsidP="00732B10">
      <w:pPr>
        <w:autoSpaceDE w:val="0"/>
        <w:autoSpaceDN w:val="0"/>
        <w:adjustRightInd w:val="0"/>
        <w:spacing w:after="0" w:line="240" w:lineRule="auto"/>
        <w:jc w:val="center"/>
        <w:rPr>
          <w:rFonts w:ascii="Times New Roman" w:hAnsi="Times New Roman"/>
          <w:b/>
          <w:bCs/>
          <w:color w:val="000000"/>
          <w:sz w:val="28"/>
          <w:szCs w:val="28"/>
        </w:rPr>
      </w:pPr>
      <w:r w:rsidRPr="009320EA">
        <w:rPr>
          <w:rFonts w:ascii="Times New Roman" w:hAnsi="Times New Roman"/>
          <w:b/>
          <w:bCs/>
          <w:color w:val="000000"/>
          <w:sz w:val="28"/>
          <w:szCs w:val="28"/>
        </w:rPr>
        <w:t>Основные показатели социально-экономического развития России</w:t>
      </w:r>
    </w:p>
    <w:p w:rsidR="00732B10" w:rsidRPr="009320EA" w:rsidRDefault="00732B10" w:rsidP="00732B10">
      <w:pPr>
        <w:autoSpaceDE w:val="0"/>
        <w:autoSpaceDN w:val="0"/>
        <w:adjustRightInd w:val="0"/>
        <w:spacing w:after="0" w:line="240" w:lineRule="auto"/>
        <w:jc w:val="center"/>
        <w:rPr>
          <w:rFonts w:ascii="Times New Roman" w:hAnsi="Times New Roman"/>
          <w:b/>
          <w:bCs/>
          <w:color w:val="000000"/>
          <w:sz w:val="28"/>
          <w:szCs w:val="28"/>
        </w:rPr>
      </w:pPr>
      <w:r w:rsidRPr="009320EA">
        <w:rPr>
          <w:rFonts w:ascii="Times New Roman" w:hAnsi="Times New Roman"/>
          <w:b/>
          <w:bCs/>
          <w:color w:val="000000"/>
          <w:sz w:val="28"/>
          <w:szCs w:val="28"/>
        </w:rPr>
        <w:t>в 2008–2013 годах (в % к предыдущему году)</w:t>
      </w:r>
    </w:p>
    <w:tbl>
      <w:tblPr>
        <w:tblW w:w="9356" w:type="dxa"/>
        <w:tblInd w:w="108" w:type="dxa"/>
        <w:tblLook w:val="04A0" w:firstRow="1" w:lastRow="0" w:firstColumn="1" w:lastColumn="0" w:noHBand="0" w:noVBand="1"/>
      </w:tblPr>
      <w:tblGrid>
        <w:gridCol w:w="3119"/>
        <w:gridCol w:w="850"/>
        <w:gridCol w:w="851"/>
        <w:gridCol w:w="850"/>
        <w:gridCol w:w="717"/>
        <w:gridCol w:w="843"/>
        <w:gridCol w:w="717"/>
        <w:gridCol w:w="1409"/>
      </w:tblGrid>
      <w:tr w:rsidR="00732B10" w:rsidRPr="009320EA" w:rsidTr="005C6257">
        <w:trPr>
          <w:trHeight w:val="120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b/>
                <w:color w:val="000000"/>
                <w:lang w:eastAsia="ru-RU"/>
              </w:rPr>
            </w:pPr>
            <w:r w:rsidRPr="009320EA">
              <w:rPr>
                <w:rFonts w:ascii="Times New Roman" w:eastAsia="Times New Roman" w:hAnsi="Times New Roman"/>
                <w:b/>
                <w:color w:val="000000"/>
                <w:lang w:eastAsia="ru-RU"/>
              </w:rPr>
              <w:lastRenderedPageBreak/>
              <w:t>Наименование показателя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b/>
                <w:color w:val="000000"/>
                <w:lang w:eastAsia="ru-RU"/>
              </w:rPr>
            </w:pPr>
            <w:r w:rsidRPr="009320EA">
              <w:rPr>
                <w:rFonts w:ascii="Times New Roman" w:eastAsia="Times New Roman" w:hAnsi="Times New Roman"/>
                <w:b/>
                <w:color w:val="000000"/>
                <w:lang w:eastAsia="ru-RU"/>
              </w:rPr>
              <w:t>2008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b/>
                <w:color w:val="000000"/>
                <w:lang w:eastAsia="ru-RU"/>
              </w:rPr>
            </w:pPr>
            <w:r w:rsidRPr="009320EA">
              <w:rPr>
                <w:rFonts w:ascii="Times New Roman" w:eastAsia="Times New Roman" w:hAnsi="Times New Roman"/>
                <w:b/>
                <w:color w:val="000000"/>
                <w:lang w:eastAsia="ru-RU"/>
              </w:rPr>
              <w:t>2009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b/>
                <w:color w:val="000000"/>
                <w:lang w:eastAsia="ru-RU"/>
              </w:rPr>
            </w:pPr>
            <w:r w:rsidRPr="009320EA">
              <w:rPr>
                <w:rFonts w:ascii="Times New Roman" w:eastAsia="Times New Roman" w:hAnsi="Times New Roman"/>
                <w:b/>
                <w:color w:val="000000"/>
                <w:lang w:eastAsia="ru-RU"/>
              </w:rPr>
              <w:t>2010</w:t>
            </w:r>
          </w:p>
        </w:tc>
        <w:tc>
          <w:tcPr>
            <w:tcW w:w="717" w:type="dxa"/>
            <w:tcBorders>
              <w:top w:val="single" w:sz="4" w:space="0" w:color="auto"/>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b/>
                <w:color w:val="000000"/>
                <w:lang w:eastAsia="ru-RU"/>
              </w:rPr>
            </w:pPr>
            <w:r w:rsidRPr="009320EA">
              <w:rPr>
                <w:rFonts w:ascii="Times New Roman" w:eastAsia="Times New Roman" w:hAnsi="Times New Roman"/>
                <w:b/>
                <w:color w:val="000000"/>
                <w:lang w:eastAsia="ru-RU"/>
              </w:rPr>
              <w:t>2011</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b/>
                <w:color w:val="000000"/>
                <w:lang w:eastAsia="ru-RU"/>
              </w:rPr>
            </w:pPr>
            <w:r w:rsidRPr="009320EA">
              <w:rPr>
                <w:rFonts w:ascii="Times New Roman" w:eastAsia="Times New Roman" w:hAnsi="Times New Roman"/>
                <w:b/>
                <w:color w:val="000000"/>
                <w:lang w:eastAsia="ru-RU"/>
              </w:rPr>
              <w:t>2012</w:t>
            </w:r>
          </w:p>
        </w:tc>
        <w:tc>
          <w:tcPr>
            <w:tcW w:w="717" w:type="dxa"/>
            <w:tcBorders>
              <w:top w:val="single" w:sz="4" w:space="0" w:color="auto"/>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b/>
                <w:color w:val="000000"/>
                <w:lang w:eastAsia="ru-RU"/>
              </w:rPr>
            </w:pPr>
            <w:r w:rsidRPr="009320EA">
              <w:rPr>
                <w:rFonts w:ascii="Times New Roman" w:eastAsia="Times New Roman" w:hAnsi="Times New Roman"/>
                <w:b/>
                <w:color w:val="000000"/>
                <w:lang w:eastAsia="ru-RU"/>
              </w:rPr>
              <w:t>2013</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b/>
                <w:color w:val="000000"/>
                <w:lang w:eastAsia="ru-RU"/>
              </w:rPr>
            </w:pPr>
            <w:proofErr w:type="gramStart"/>
            <w:r>
              <w:rPr>
                <w:rFonts w:ascii="Times New Roman" w:eastAsia="Times New Roman" w:hAnsi="Times New Roman"/>
                <w:b/>
                <w:color w:val="000000"/>
                <w:lang w:eastAsia="ru-RU"/>
              </w:rPr>
              <w:t>Средне-</w:t>
            </w:r>
            <w:r w:rsidRPr="009320EA">
              <w:rPr>
                <w:rFonts w:ascii="Times New Roman" w:eastAsia="Times New Roman" w:hAnsi="Times New Roman"/>
                <w:b/>
                <w:color w:val="000000"/>
                <w:lang w:eastAsia="ru-RU"/>
              </w:rPr>
              <w:t>годовые</w:t>
            </w:r>
            <w:proofErr w:type="gramEnd"/>
            <w:r w:rsidRPr="009320EA">
              <w:rPr>
                <w:rFonts w:ascii="Times New Roman" w:eastAsia="Times New Roman" w:hAnsi="Times New Roman"/>
                <w:b/>
                <w:color w:val="000000"/>
                <w:lang w:eastAsia="ru-RU"/>
              </w:rPr>
              <w:br/>
              <w:t>темпы роста в</w:t>
            </w:r>
            <w:r w:rsidRPr="009320EA">
              <w:rPr>
                <w:rFonts w:ascii="Times New Roman" w:eastAsia="Times New Roman" w:hAnsi="Times New Roman"/>
                <w:b/>
                <w:color w:val="000000"/>
                <w:lang w:eastAsia="ru-RU"/>
              </w:rPr>
              <w:br/>
              <w:t>2008–2013 гг.</w:t>
            </w:r>
          </w:p>
        </w:tc>
      </w:tr>
      <w:tr w:rsidR="00732B10" w:rsidRPr="009320EA" w:rsidTr="005C6257">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rPr>
                <w:rFonts w:ascii="Times New Roman" w:eastAsia="Times New Roman" w:hAnsi="Times New Roman"/>
                <w:color w:val="000000"/>
                <w:lang w:eastAsia="ru-RU"/>
              </w:rPr>
            </w:pPr>
            <w:r w:rsidRPr="009320EA">
              <w:rPr>
                <w:rFonts w:ascii="Times New Roman" w:eastAsia="Times New Roman" w:hAnsi="Times New Roman"/>
                <w:color w:val="000000"/>
                <w:lang w:eastAsia="ru-RU"/>
              </w:rPr>
              <w:t>ВВП</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105,2</w:t>
            </w:r>
          </w:p>
        </w:tc>
        <w:tc>
          <w:tcPr>
            <w:tcW w:w="851"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92,2</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104,5</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104,3</w:t>
            </w:r>
          </w:p>
        </w:tc>
        <w:tc>
          <w:tcPr>
            <w:tcW w:w="843"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103,4</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101,3</w:t>
            </w:r>
          </w:p>
        </w:tc>
        <w:tc>
          <w:tcPr>
            <w:tcW w:w="1409"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101,8</w:t>
            </w:r>
          </w:p>
        </w:tc>
      </w:tr>
      <w:tr w:rsidR="00732B10" w:rsidRPr="009320EA" w:rsidTr="005C6257">
        <w:trPr>
          <w:trHeight w:val="6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rPr>
                <w:rFonts w:ascii="Times New Roman" w:eastAsia="Times New Roman" w:hAnsi="Times New Roman"/>
                <w:color w:val="000000"/>
                <w:lang w:eastAsia="ru-RU"/>
              </w:rPr>
            </w:pPr>
            <w:r w:rsidRPr="009320EA">
              <w:rPr>
                <w:rFonts w:ascii="Times New Roman" w:eastAsia="Times New Roman" w:hAnsi="Times New Roman"/>
                <w:color w:val="000000"/>
                <w:lang w:eastAsia="ru-RU"/>
              </w:rPr>
              <w:t>Индекс промышленного производства</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100,6</w:t>
            </w:r>
          </w:p>
        </w:tc>
        <w:tc>
          <w:tcPr>
            <w:tcW w:w="851"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90,7</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107,3</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105</w:t>
            </w:r>
          </w:p>
        </w:tc>
        <w:tc>
          <w:tcPr>
            <w:tcW w:w="843"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103,4</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100,4</w:t>
            </w:r>
          </w:p>
        </w:tc>
        <w:tc>
          <w:tcPr>
            <w:tcW w:w="1409"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101,2</w:t>
            </w:r>
          </w:p>
        </w:tc>
      </w:tr>
      <w:tr w:rsidR="00732B10" w:rsidRPr="009320EA" w:rsidTr="005C6257">
        <w:trPr>
          <w:trHeight w:val="9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rPr>
                <w:rFonts w:ascii="Times New Roman" w:eastAsia="Times New Roman" w:hAnsi="Times New Roman"/>
                <w:color w:val="000000"/>
                <w:lang w:eastAsia="ru-RU"/>
              </w:rPr>
            </w:pPr>
            <w:r w:rsidRPr="009320EA">
              <w:rPr>
                <w:rFonts w:ascii="Times New Roman" w:eastAsia="Times New Roman" w:hAnsi="Times New Roman"/>
                <w:color w:val="000000"/>
                <w:lang w:eastAsia="ru-RU"/>
              </w:rPr>
              <w:t>Индекс производства продукции сельского хозяйства</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110,8</w:t>
            </w:r>
          </w:p>
        </w:tc>
        <w:tc>
          <w:tcPr>
            <w:tcW w:w="851"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101,4</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88,7</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123</w:t>
            </w:r>
          </w:p>
        </w:tc>
        <w:tc>
          <w:tcPr>
            <w:tcW w:w="843"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95,2</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106,2</w:t>
            </w:r>
          </w:p>
        </w:tc>
        <w:tc>
          <w:tcPr>
            <w:tcW w:w="1409"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104,2</w:t>
            </w:r>
          </w:p>
        </w:tc>
      </w:tr>
      <w:tr w:rsidR="00732B10" w:rsidRPr="009320EA" w:rsidTr="005C6257">
        <w:trPr>
          <w:trHeight w:val="6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rPr>
                <w:rFonts w:ascii="Times New Roman" w:eastAsia="Times New Roman" w:hAnsi="Times New Roman"/>
                <w:color w:val="000000"/>
                <w:lang w:eastAsia="ru-RU"/>
              </w:rPr>
            </w:pPr>
            <w:r w:rsidRPr="009320EA">
              <w:rPr>
                <w:rFonts w:ascii="Times New Roman" w:eastAsia="Times New Roman" w:hAnsi="Times New Roman"/>
                <w:color w:val="000000"/>
                <w:lang w:eastAsia="ru-RU"/>
              </w:rPr>
              <w:t>Инвестиции в основной капитал</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109,9</w:t>
            </w:r>
          </w:p>
        </w:tc>
        <w:tc>
          <w:tcPr>
            <w:tcW w:w="851"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84,3</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106</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110,8</w:t>
            </w:r>
          </w:p>
        </w:tc>
        <w:tc>
          <w:tcPr>
            <w:tcW w:w="843"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106,6</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99,8</w:t>
            </w:r>
          </w:p>
        </w:tc>
        <w:tc>
          <w:tcPr>
            <w:tcW w:w="1409"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102,9</w:t>
            </w:r>
          </w:p>
        </w:tc>
      </w:tr>
      <w:tr w:rsidR="00732B10" w:rsidRPr="009320EA" w:rsidTr="005C6257">
        <w:trPr>
          <w:trHeight w:val="9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rPr>
                <w:rFonts w:ascii="Times New Roman" w:eastAsia="Times New Roman" w:hAnsi="Times New Roman"/>
                <w:color w:val="000000"/>
                <w:lang w:eastAsia="ru-RU"/>
              </w:rPr>
            </w:pPr>
            <w:r w:rsidRPr="009320EA">
              <w:rPr>
                <w:rFonts w:ascii="Times New Roman" w:eastAsia="Times New Roman" w:hAnsi="Times New Roman"/>
                <w:color w:val="000000"/>
                <w:lang w:eastAsia="ru-RU"/>
              </w:rPr>
              <w:t>Объем работ по виду деятельности «Строительство»</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112,8</w:t>
            </w:r>
          </w:p>
        </w:tc>
        <w:tc>
          <w:tcPr>
            <w:tcW w:w="851"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86,8</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105</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105,1</w:t>
            </w:r>
          </w:p>
        </w:tc>
        <w:tc>
          <w:tcPr>
            <w:tcW w:w="843"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102,4</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98,5</w:t>
            </w:r>
          </w:p>
        </w:tc>
        <w:tc>
          <w:tcPr>
            <w:tcW w:w="1409"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101,8</w:t>
            </w:r>
          </w:p>
        </w:tc>
      </w:tr>
      <w:tr w:rsidR="00732B10" w:rsidRPr="009320EA" w:rsidTr="005C6257">
        <w:trPr>
          <w:trHeight w:val="6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rPr>
                <w:rFonts w:ascii="Times New Roman" w:eastAsia="Times New Roman" w:hAnsi="Times New Roman"/>
                <w:color w:val="000000"/>
                <w:lang w:eastAsia="ru-RU"/>
              </w:rPr>
            </w:pPr>
            <w:r w:rsidRPr="009320EA">
              <w:rPr>
                <w:rFonts w:ascii="Times New Roman" w:eastAsia="Times New Roman" w:hAnsi="Times New Roman"/>
                <w:color w:val="000000"/>
                <w:lang w:eastAsia="ru-RU"/>
              </w:rPr>
              <w:t>Реальные располагаемые денежные доходы</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102,4</w:t>
            </w:r>
          </w:p>
        </w:tc>
        <w:tc>
          <w:tcPr>
            <w:tcW w:w="851"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103,0</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105,9</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100,5</w:t>
            </w:r>
          </w:p>
        </w:tc>
        <w:tc>
          <w:tcPr>
            <w:tcW w:w="843"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104,6</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103,2</w:t>
            </w:r>
          </w:p>
        </w:tc>
        <w:tc>
          <w:tcPr>
            <w:tcW w:w="1409"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103,3</w:t>
            </w:r>
          </w:p>
        </w:tc>
      </w:tr>
      <w:tr w:rsidR="00732B10" w:rsidRPr="009320EA" w:rsidTr="005C6257">
        <w:trPr>
          <w:trHeight w:val="3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rPr>
                <w:rFonts w:ascii="Times New Roman" w:eastAsia="Times New Roman" w:hAnsi="Times New Roman"/>
                <w:color w:val="000000"/>
                <w:lang w:eastAsia="ru-RU"/>
              </w:rPr>
            </w:pPr>
            <w:r w:rsidRPr="009320EA">
              <w:rPr>
                <w:rFonts w:ascii="Times New Roman" w:eastAsia="Times New Roman" w:hAnsi="Times New Roman"/>
                <w:color w:val="000000"/>
                <w:lang w:eastAsia="ru-RU"/>
              </w:rPr>
              <w:t>Оборот розничной торговли</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113,7</w:t>
            </w:r>
          </w:p>
        </w:tc>
        <w:tc>
          <w:tcPr>
            <w:tcW w:w="851"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94,9</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106,4</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107</w:t>
            </w:r>
          </w:p>
        </w:tc>
        <w:tc>
          <w:tcPr>
            <w:tcW w:w="843"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106,3</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103,9</w:t>
            </w:r>
          </w:p>
        </w:tc>
        <w:tc>
          <w:tcPr>
            <w:tcW w:w="1409"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105,4</w:t>
            </w:r>
          </w:p>
        </w:tc>
      </w:tr>
      <w:tr w:rsidR="00732B10" w:rsidRPr="009320EA" w:rsidTr="005C6257">
        <w:trPr>
          <w:trHeight w:val="6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rPr>
                <w:rFonts w:ascii="Times New Roman" w:eastAsia="Times New Roman" w:hAnsi="Times New Roman"/>
                <w:color w:val="000000"/>
                <w:lang w:eastAsia="ru-RU"/>
              </w:rPr>
            </w:pPr>
            <w:r w:rsidRPr="009320EA">
              <w:rPr>
                <w:rFonts w:ascii="Times New Roman" w:eastAsia="Times New Roman" w:hAnsi="Times New Roman"/>
                <w:color w:val="000000"/>
                <w:lang w:eastAsia="ru-RU"/>
              </w:rPr>
              <w:t>Экспорт товаров, млрд долл. США</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471,6</w:t>
            </w:r>
          </w:p>
        </w:tc>
        <w:tc>
          <w:tcPr>
            <w:tcW w:w="851"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303,4</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392,7</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515,4</w:t>
            </w:r>
          </w:p>
        </w:tc>
        <w:tc>
          <w:tcPr>
            <w:tcW w:w="843"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528</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523,3</w:t>
            </w:r>
          </w:p>
        </w:tc>
        <w:tc>
          <w:tcPr>
            <w:tcW w:w="1409"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 </w:t>
            </w:r>
          </w:p>
        </w:tc>
      </w:tr>
      <w:tr w:rsidR="00732B10" w:rsidRPr="009320EA" w:rsidTr="005C6257">
        <w:trPr>
          <w:trHeight w:val="600"/>
        </w:trPr>
        <w:tc>
          <w:tcPr>
            <w:tcW w:w="3119" w:type="dxa"/>
            <w:tcBorders>
              <w:top w:val="nil"/>
              <w:left w:val="single" w:sz="4" w:space="0" w:color="auto"/>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rPr>
                <w:rFonts w:ascii="Times New Roman" w:eastAsia="Times New Roman" w:hAnsi="Times New Roman"/>
                <w:color w:val="000000"/>
                <w:lang w:eastAsia="ru-RU"/>
              </w:rPr>
            </w:pPr>
            <w:r w:rsidRPr="009320EA">
              <w:rPr>
                <w:rFonts w:ascii="Times New Roman" w:eastAsia="Times New Roman" w:hAnsi="Times New Roman"/>
                <w:color w:val="000000"/>
                <w:lang w:eastAsia="ru-RU"/>
              </w:rPr>
              <w:t>Импорт товаров, млрд долл. США</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291,9</w:t>
            </w:r>
          </w:p>
        </w:tc>
        <w:tc>
          <w:tcPr>
            <w:tcW w:w="851"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191,8</w:t>
            </w:r>
          </w:p>
        </w:tc>
        <w:tc>
          <w:tcPr>
            <w:tcW w:w="850"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245,7</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318,6</w:t>
            </w:r>
          </w:p>
        </w:tc>
        <w:tc>
          <w:tcPr>
            <w:tcW w:w="843"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335,8</w:t>
            </w:r>
          </w:p>
        </w:tc>
        <w:tc>
          <w:tcPr>
            <w:tcW w:w="717"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343</w:t>
            </w:r>
          </w:p>
        </w:tc>
        <w:tc>
          <w:tcPr>
            <w:tcW w:w="1409" w:type="dxa"/>
            <w:tcBorders>
              <w:top w:val="nil"/>
              <w:left w:val="nil"/>
              <w:bottom w:val="single" w:sz="4" w:space="0" w:color="auto"/>
              <w:right w:val="single" w:sz="4" w:space="0" w:color="auto"/>
            </w:tcBorders>
            <w:shd w:val="clear" w:color="auto" w:fill="auto"/>
            <w:vAlign w:val="center"/>
            <w:hideMark/>
          </w:tcPr>
          <w:p w:rsidR="00732B10" w:rsidRPr="009320EA" w:rsidRDefault="00732B10" w:rsidP="005C6257">
            <w:pPr>
              <w:spacing w:after="0" w:line="240" w:lineRule="auto"/>
              <w:jc w:val="center"/>
              <w:rPr>
                <w:rFonts w:ascii="Times New Roman" w:eastAsia="Times New Roman" w:hAnsi="Times New Roman"/>
                <w:color w:val="000000"/>
                <w:lang w:eastAsia="ru-RU"/>
              </w:rPr>
            </w:pPr>
            <w:r w:rsidRPr="009320EA">
              <w:rPr>
                <w:rFonts w:ascii="Times New Roman" w:eastAsia="Times New Roman" w:hAnsi="Times New Roman"/>
                <w:color w:val="000000"/>
                <w:lang w:eastAsia="ru-RU"/>
              </w:rPr>
              <w:t> </w:t>
            </w:r>
          </w:p>
        </w:tc>
      </w:tr>
    </w:tbl>
    <w:p w:rsidR="00732B10" w:rsidRDefault="00732B10" w:rsidP="00732B10">
      <w:pPr>
        <w:spacing w:line="360" w:lineRule="auto"/>
        <w:jc w:val="both"/>
        <w:rPr>
          <w:rFonts w:ascii="Times New Roman" w:hAnsi="Times New Roman"/>
          <w:sz w:val="28"/>
          <w:szCs w:val="26"/>
        </w:rPr>
      </w:pPr>
      <w:r w:rsidRPr="009035A8">
        <w:rPr>
          <w:rFonts w:ascii="Times New Roman" w:hAnsi="Times New Roman"/>
          <w:sz w:val="20"/>
          <w:szCs w:val="20"/>
        </w:rPr>
        <w:t>*</w:t>
      </w:r>
      <w:r>
        <w:rPr>
          <w:rFonts w:ascii="Times New Roman" w:hAnsi="Times New Roman"/>
          <w:sz w:val="20"/>
          <w:szCs w:val="20"/>
        </w:rPr>
        <w:t xml:space="preserve">) </w:t>
      </w:r>
      <w:r w:rsidRPr="00793F2F">
        <w:rPr>
          <w:rFonts w:ascii="Times New Roman" w:hAnsi="Times New Roman"/>
          <w:b/>
          <w:sz w:val="20"/>
          <w:szCs w:val="20"/>
        </w:rPr>
        <w:t>Источник</w:t>
      </w:r>
      <w:r w:rsidRPr="003E5389">
        <w:rPr>
          <w:rFonts w:ascii="Times New Roman" w:hAnsi="Times New Roman"/>
          <w:sz w:val="20"/>
          <w:szCs w:val="20"/>
        </w:rPr>
        <w:t>:</w:t>
      </w:r>
      <w:r w:rsidRPr="009035A8">
        <w:rPr>
          <w:rFonts w:ascii="Times New Roman" w:hAnsi="Times New Roman"/>
          <w:sz w:val="20"/>
          <w:szCs w:val="20"/>
        </w:rPr>
        <w:t xml:space="preserve"> </w:t>
      </w:r>
      <w:hyperlink r:id="rId7" w:history="1">
        <w:r w:rsidRPr="00F143BC">
          <w:rPr>
            <w:rStyle w:val="a5"/>
            <w:rFonts w:ascii="Times New Roman" w:hAnsi="Times New Roman"/>
            <w:sz w:val="20"/>
            <w:szCs w:val="20"/>
          </w:rPr>
          <w:t>www.</w:t>
        </w:r>
        <w:r w:rsidRPr="00F143BC">
          <w:rPr>
            <w:rStyle w:val="a5"/>
            <w:rFonts w:ascii="Times New Roman" w:hAnsi="Times New Roman"/>
            <w:sz w:val="20"/>
            <w:szCs w:val="20"/>
            <w:shd w:val="clear" w:color="auto" w:fill="FFFFFF"/>
          </w:rPr>
          <w:t>ereport.ru</w:t>
        </w:r>
      </w:hyperlink>
    </w:p>
    <w:p w:rsidR="00732B10" w:rsidRDefault="00732B10" w:rsidP="00732B10">
      <w:pPr>
        <w:spacing w:line="360" w:lineRule="auto"/>
        <w:jc w:val="both"/>
        <w:rPr>
          <w:rFonts w:ascii="Times New Roman" w:hAnsi="Times New Roman"/>
          <w:sz w:val="28"/>
          <w:szCs w:val="26"/>
        </w:rPr>
      </w:pPr>
      <w:r>
        <w:rPr>
          <w:rFonts w:ascii="Times New Roman" w:hAnsi="Times New Roman"/>
          <w:sz w:val="28"/>
          <w:szCs w:val="26"/>
        </w:rPr>
        <w:t xml:space="preserve">         </w:t>
      </w:r>
      <w:r w:rsidRPr="00651A1E">
        <w:rPr>
          <w:rFonts w:ascii="Times New Roman" w:hAnsi="Times New Roman"/>
          <w:sz w:val="28"/>
          <w:szCs w:val="26"/>
        </w:rPr>
        <w:t>По итогам 2013 года величина инд</w:t>
      </w:r>
      <w:r>
        <w:rPr>
          <w:rFonts w:ascii="Times New Roman" w:hAnsi="Times New Roman"/>
          <w:sz w:val="28"/>
          <w:szCs w:val="26"/>
        </w:rPr>
        <w:t xml:space="preserve">екса промышленного производства </w:t>
      </w:r>
      <w:r w:rsidRPr="00651A1E">
        <w:rPr>
          <w:rFonts w:ascii="Times New Roman" w:hAnsi="Times New Roman"/>
          <w:sz w:val="28"/>
          <w:szCs w:val="26"/>
        </w:rPr>
        <w:t>в целом по Российской Федерации сохр</w:t>
      </w:r>
      <w:r>
        <w:rPr>
          <w:rFonts w:ascii="Times New Roman" w:hAnsi="Times New Roman"/>
          <w:sz w:val="28"/>
          <w:szCs w:val="26"/>
        </w:rPr>
        <w:t>анилась на уровне 2012 г. так темп роста составил всего 0,4</w:t>
      </w:r>
      <w:proofErr w:type="gramStart"/>
      <w:r>
        <w:rPr>
          <w:rFonts w:ascii="Times New Roman" w:hAnsi="Times New Roman"/>
          <w:sz w:val="28"/>
          <w:szCs w:val="26"/>
        </w:rPr>
        <w:t>% .</w:t>
      </w:r>
      <w:proofErr w:type="gramEnd"/>
      <w:r>
        <w:rPr>
          <w:rFonts w:ascii="Times New Roman" w:hAnsi="Times New Roman"/>
          <w:sz w:val="28"/>
          <w:szCs w:val="26"/>
        </w:rPr>
        <w:t xml:space="preserve"> </w:t>
      </w:r>
      <w:r w:rsidRPr="0072001F">
        <w:rPr>
          <w:rFonts w:ascii="Times New Roman" w:hAnsi="Times New Roman"/>
          <w:sz w:val="28"/>
          <w:szCs w:val="26"/>
        </w:rPr>
        <w:t>Развитие промышленного комплекса в 2013 году характеризовалось следующими факторами: стагнация объемов производства, низкий рост производительности труда, замедление прироста объемов инвестиций в основной капитал, существенное ухудшение финансового положения предприятий, в том числе платежеспособности.</w:t>
      </w:r>
    </w:p>
    <w:p w:rsidR="00732B10" w:rsidRDefault="00732B10" w:rsidP="00732B10">
      <w:pPr>
        <w:spacing w:after="0" w:line="360" w:lineRule="auto"/>
        <w:jc w:val="both"/>
        <w:rPr>
          <w:rFonts w:ascii="Times New Roman" w:hAnsi="Times New Roman"/>
          <w:sz w:val="28"/>
          <w:szCs w:val="26"/>
        </w:rPr>
      </w:pPr>
      <w:r>
        <w:rPr>
          <w:rFonts w:ascii="Times New Roman" w:hAnsi="Times New Roman"/>
          <w:sz w:val="28"/>
          <w:szCs w:val="26"/>
        </w:rPr>
        <w:t xml:space="preserve">         </w:t>
      </w:r>
      <w:r w:rsidRPr="00651A1E">
        <w:rPr>
          <w:rFonts w:ascii="Times New Roman" w:hAnsi="Times New Roman"/>
          <w:sz w:val="28"/>
          <w:szCs w:val="26"/>
        </w:rPr>
        <w:t>Объем производства продукции сельского хозяйст</w:t>
      </w:r>
      <w:r>
        <w:rPr>
          <w:rFonts w:ascii="Times New Roman" w:hAnsi="Times New Roman"/>
          <w:sz w:val="28"/>
          <w:szCs w:val="26"/>
        </w:rPr>
        <w:t>ва России по итогам 2013 г.</w:t>
      </w:r>
      <w:r w:rsidRPr="00651A1E">
        <w:rPr>
          <w:rFonts w:ascii="Times New Roman" w:hAnsi="Times New Roman"/>
          <w:sz w:val="28"/>
          <w:szCs w:val="26"/>
        </w:rPr>
        <w:t xml:space="preserve"> составил</w:t>
      </w:r>
      <w:r>
        <w:rPr>
          <w:rFonts w:ascii="Times New Roman" w:hAnsi="Times New Roman"/>
          <w:sz w:val="28"/>
          <w:szCs w:val="26"/>
        </w:rPr>
        <w:t xml:space="preserve"> </w:t>
      </w:r>
      <w:r w:rsidRPr="00651A1E">
        <w:rPr>
          <w:rFonts w:ascii="Times New Roman" w:hAnsi="Times New Roman"/>
          <w:sz w:val="28"/>
          <w:szCs w:val="26"/>
        </w:rPr>
        <w:t xml:space="preserve"> 3</w:t>
      </w:r>
      <w:r>
        <w:rPr>
          <w:rFonts w:ascii="Times New Roman" w:hAnsi="Times New Roman"/>
          <w:sz w:val="28"/>
          <w:szCs w:val="26"/>
        </w:rPr>
        <w:t xml:space="preserve"> трлн.</w:t>
      </w:r>
      <w:r w:rsidRPr="00651A1E">
        <w:rPr>
          <w:rFonts w:ascii="Times New Roman" w:hAnsi="Times New Roman"/>
          <w:sz w:val="28"/>
          <w:szCs w:val="26"/>
        </w:rPr>
        <w:t xml:space="preserve"> 790,8 млрд. рублей, или </w:t>
      </w:r>
      <w:r>
        <w:rPr>
          <w:rFonts w:ascii="Times New Roman" w:hAnsi="Times New Roman"/>
          <w:sz w:val="28"/>
          <w:szCs w:val="26"/>
        </w:rPr>
        <w:t xml:space="preserve">темп рост в </w:t>
      </w:r>
      <w:r w:rsidRPr="00651A1E">
        <w:rPr>
          <w:rFonts w:ascii="Times New Roman" w:hAnsi="Times New Roman"/>
          <w:sz w:val="28"/>
          <w:szCs w:val="26"/>
        </w:rPr>
        <w:t>6,2% к</w:t>
      </w:r>
      <w:r>
        <w:rPr>
          <w:rFonts w:ascii="Times New Roman" w:hAnsi="Times New Roman"/>
          <w:sz w:val="28"/>
          <w:szCs w:val="26"/>
        </w:rPr>
        <w:t xml:space="preserve"> уровню</w:t>
      </w:r>
      <w:r w:rsidRPr="00651A1E">
        <w:rPr>
          <w:rFonts w:ascii="Times New Roman" w:hAnsi="Times New Roman"/>
          <w:sz w:val="28"/>
          <w:szCs w:val="26"/>
        </w:rPr>
        <w:t xml:space="preserve"> 2012 года. </w:t>
      </w:r>
      <w:r>
        <w:rPr>
          <w:rFonts w:ascii="Times New Roman" w:hAnsi="Times New Roman"/>
          <w:sz w:val="28"/>
          <w:szCs w:val="26"/>
        </w:rPr>
        <w:t xml:space="preserve"> </w:t>
      </w:r>
    </w:p>
    <w:p w:rsidR="00732B10" w:rsidRDefault="00732B10" w:rsidP="00732B10">
      <w:pPr>
        <w:spacing w:line="360" w:lineRule="auto"/>
        <w:ind w:firstLine="709"/>
        <w:jc w:val="both"/>
        <w:rPr>
          <w:rFonts w:ascii="Times New Roman" w:hAnsi="Times New Roman"/>
          <w:sz w:val="28"/>
          <w:szCs w:val="28"/>
        </w:rPr>
      </w:pPr>
      <w:r>
        <w:rPr>
          <w:rFonts w:ascii="Times New Roman" w:hAnsi="Times New Roman"/>
          <w:sz w:val="28"/>
          <w:szCs w:val="26"/>
        </w:rPr>
        <w:t>И</w:t>
      </w:r>
      <w:r w:rsidRPr="009320EA">
        <w:rPr>
          <w:rFonts w:ascii="Times New Roman" w:hAnsi="Times New Roman"/>
          <w:sz w:val="28"/>
          <w:szCs w:val="26"/>
        </w:rPr>
        <w:t>нфляция</w:t>
      </w:r>
      <w:r w:rsidRPr="000319A3">
        <w:rPr>
          <w:rFonts w:ascii="Times New Roman" w:hAnsi="Times New Roman"/>
          <w:b/>
          <w:i/>
          <w:sz w:val="28"/>
          <w:szCs w:val="26"/>
        </w:rPr>
        <w:t xml:space="preserve"> </w:t>
      </w:r>
      <w:r w:rsidRPr="00900DB6">
        <w:rPr>
          <w:rFonts w:ascii="Times New Roman" w:hAnsi="Times New Roman"/>
          <w:sz w:val="28"/>
          <w:szCs w:val="26"/>
        </w:rPr>
        <w:t>в 2013 году</w:t>
      </w:r>
      <w:r>
        <w:rPr>
          <w:rFonts w:ascii="Times New Roman" w:hAnsi="Times New Roman"/>
          <w:b/>
          <w:i/>
          <w:sz w:val="28"/>
          <w:szCs w:val="26"/>
        </w:rPr>
        <w:t xml:space="preserve"> </w:t>
      </w:r>
      <w:r w:rsidRPr="000319A3">
        <w:rPr>
          <w:rFonts w:ascii="Times New Roman" w:hAnsi="Times New Roman"/>
          <w:sz w:val="28"/>
          <w:szCs w:val="26"/>
        </w:rPr>
        <w:t xml:space="preserve">на потребительском рынке </w:t>
      </w:r>
      <w:r>
        <w:rPr>
          <w:rFonts w:ascii="Times New Roman" w:hAnsi="Times New Roman"/>
          <w:sz w:val="28"/>
          <w:szCs w:val="26"/>
        </w:rPr>
        <w:t xml:space="preserve">России составила 6,5%. </w:t>
      </w:r>
      <w:r w:rsidRPr="000319A3">
        <w:rPr>
          <w:rFonts w:ascii="Times New Roman" w:hAnsi="Times New Roman"/>
          <w:sz w:val="28"/>
          <w:szCs w:val="26"/>
        </w:rPr>
        <w:t xml:space="preserve"> </w:t>
      </w:r>
      <w:r w:rsidRPr="000319A3">
        <w:rPr>
          <w:rFonts w:ascii="Times New Roman" w:hAnsi="Times New Roman"/>
          <w:color w:val="000000"/>
          <w:sz w:val="28"/>
          <w:szCs w:val="26"/>
        </w:rPr>
        <w:t>Осн</w:t>
      </w:r>
      <w:r>
        <w:rPr>
          <w:rFonts w:ascii="Times New Roman" w:hAnsi="Times New Roman"/>
          <w:color w:val="000000"/>
          <w:sz w:val="28"/>
          <w:szCs w:val="26"/>
        </w:rPr>
        <w:t>овной вклад в инфляцию</w:t>
      </w:r>
      <w:r w:rsidRPr="000319A3">
        <w:rPr>
          <w:rFonts w:ascii="Times New Roman" w:hAnsi="Times New Roman"/>
          <w:color w:val="000000"/>
          <w:sz w:val="28"/>
          <w:szCs w:val="26"/>
        </w:rPr>
        <w:t xml:space="preserve"> внес рост цен на </w:t>
      </w:r>
      <w:r>
        <w:rPr>
          <w:rFonts w:ascii="Times New Roman" w:hAnsi="Times New Roman"/>
          <w:color w:val="000000"/>
          <w:sz w:val="28"/>
          <w:szCs w:val="26"/>
        </w:rPr>
        <w:t xml:space="preserve"> </w:t>
      </w:r>
      <w:r w:rsidRPr="00A2396C">
        <w:rPr>
          <w:rFonts w:ascii="Times New Roman" w:hAnsi="Times New Roman"/>
          <w:color w:val="000000"/>
          <w:sz w:val="28"/>
          <w:szCs w:val="26"/>
        </w:rPr>
        <w:t>продовольственные товары</w:t>
      </w:r>
      <w:r>
        <w:rPr>
          <w:rFonts w:ascii="Times New Roman" w:hAnsi="Times New Roman"/>
          <w:color w:val="000000"/>
          <w:sz w:val="28"/>
          <w:szCs w:val="26"/>
        </w:rPr>
        <w:t>, который составил 7,3%.</w:t>
      </w:r>
    </w:p>
    <w:p w:rsidR="00732B10" w:rsidRDefault="00732B10" w:rsidP="00732B10">
      <w:pPr>
        <w:spacing w:after="0" w:line="360" w:lineRule="auto"/>
        <w:ind w:firstLine="709"/>
        <w:jc w:val="both"/>
        <w:rPr>
          <w:rFonts w:ascii="Times New Roman" w:hAnsi="Times New Roman"/>
          <w:sz w:val="28"/>
          <w:szCs w:val="28"/>
        </w:rPr>
      </w:pPr>
      <w:r w:rsidRPr="00D027D5">
        <w:rPr>
          <w:rFonts w:ascii="Times New Roman" w:hAnsi="Times New Roman"/>
          <w:sz w:val="28"/>
          <w:szCs w:val="28"/>
        </w:rPr>
        <w:lastRenderedPageBreak/>
        <w:t>Внешнеторговый оборот</w:t>
      </w:r>
      <w:r>
        <w:rPr>
          <w:rFonts w:ascii="Times New Roman" w:hAnsi="Times New Roman"/>
          <w:sz w:val="28"/>
          <w:szCs w:val="28"/>
        </w:rPr>
        <w:t xml:space="preserve"> России</w:t>
      </w:r>
      <w:r w:rsidRPr="00D027D5">
        <w:rPr>
          <w:rFonts w:ascii="Times New Roman" w:hAnsi="Times New Roman"/>
          <w:sz w:val="28"/>
          <w:szCs w:val="28"/>
        </w:rPr>
        <w:t xml:space="preserve"> в  2013 году составил 865,9 млрд. долл. США, увеличившись</w:t>
      </w:r>
      <w:r>
        <w:rPr>
          <w:rFonts w:ascii="Times New Roman" w:hAnsi="Times New Roman"/>
          <w:sz w:val="28"/>
          <w:szCs w:val="28"/>
        </w:rPr>
        <w:t xml:space="preserve"> на 0,3% относительно 2012 года.  П</w:t>
      </w:r>
      <w:r w:rsidRPr="00D027D5">
        <w:rPr>
          <w:rFonts w:ascii="Times New Roman" w:hAnsi="Times New Roman"/>
          <w:sz w:val="28"/>
          <w:szCs w:val="28"/>
        </w:rPr>
        <w:t>ри этом импорт  увеличился на 2,6%, эк</w:t>
      </w:r>
      <w:r>
        <w:rPr>
          <w:rFonts w:ascii="Times New Roman" w:hAnsi="Times New Roman"/>
          <w:sz w:val="28"/>
          <w:szCs w:val="28"/>
        </w:rPr>
        <w:t>спорт уменьшился на 1,2%</w:t>
      </w:r>
      <w:r w:rsidRPr="00D027D5">
        <w:rPr>
          <w:rFonts w:ascii="Times New Roman" w:hAnsi="Times New Roman"/>
          <w:sz w:val="28"/>
          <w:szCs w:val="28"/>
        </w:rPr>
        <w:t>. В общем объеме товарооборота в 2013 году на долю экспорта приходилос</w:t>
      </w:r>
      <w:r>
        <w:rPr>
          <w:rFonts w:ascii="Times New Roman" w:hAnsi="Times New Roman"/>
          <w:sz w:val="28"/>
          <w:szCs w:val="28"/>
        </w:rPr>
        <w:t>ь 60,2%, импорта – 39,8 %</w:t>
      </w:r>
      <w:r w:rsidRPr="00D027D5">
        <w:rPr>
          <w:rFonts w:ascii="Times New Roman" w:hAnsi="Times New Roman"/>
          <w:sz w:val="28"/>
          <w:szCs w:val="28"/>
        </w:rPr>
        <w:t xml:space="preserve">. </w:t>
      </w:r>
      <w:r>
        <w:rPr>
          <w:rFonts w:ascii="Times New Roman" w:hAnsi="Times New Roman"/>
          <w:sz w:val="28"/>
          <w:szCs w:val="28"/>
        </w:rPr>
        <w:t xml:space="preserve"> </w:t>
      </w:r>
    </w:p>
    <w:p w:rsidR="00732B10" w:rsidRDefault="00732B10" w:rsidP="00732B10">
      <w:pPr>
        <w:spacing w:line="360" w:lineRule="auto"/>
        <w:jc w:val="both"/>
        <w:rPr>
          <w:rFonts w:ascii="Times New Roman" w:hAnsi="Times New Roman"/>
          <w:sz w:val="28"/>
          <w:szCs w:val="28"/>
        </w:rPr>
      </w:pPr>
      <w:r>
        <w:rPr>
          <w:rFonts w:ascii="Times New Roman" w:hAnsi="Times New Roman"/>
          <w:sz w:val="28"/>
          <w:szCs w:val="28"/>
        </w:rPr>
        <w:t xml:space="preserve">       </w:t>
      </w:r>
      <w:r w:rsidRPr="003D7C98">
        <w:rPr>
          <w:rFonts w:ascii="Times New Roman" w:hAnsi="Times New Roman"/>
          <w:sz w:val="28"/>
          <w:szCs w:val="28"/>
        </w:rPr>
        <w:t>Денежная база в широком определении, характеризующая денежное предложение со стороны органов денежно-кредитного регулирования,   за 2013 год возро</w:t>
      </w:r>
      <w:r>
        <w:rPr>
          <w:rFonts w:ascii="Times New Roman" w:hAnsi="Times New Roman"/>
          <w:sz w:val="28"/>
          <w:szCs w:val="28"/>
        </w:rPr>
        <w:t>сла на 6,6%</w:t>
      </w:r>
      <w:r w:rsidRPr="003D7C98">
        <w:rPr>
          <w:rFonts w:ascii="Times New Roman" w:hAnsi="Times New Roman"/>
          <w:sz w:val="28"/>
          <w:szCs w:val="28"/>
        </w:rPr>
        <w:t xml:space="preserve"> и</w:t>
      </w:r>
      <w:r>
        <w:rPr>
          <w:rFonts w:ascii="Times New Roman" w:hAnsi="Times New Roman"/>
          <w:sz w:val="28"/>
          <w:szCs w:val="28"/>
        </w:rPr>
        <w:t xml:space="preserve"> составила на 1 января  2014 </w:t>
      </w:r>
      <w:r w:rsidRPr="003D7C98">
        <w:rPr>
          <w:rFonts w:ascii="Times New Roman" w:hAnsi="Times New Roman"/>
          <w:sz w:val="28"/>
          <w:szCs w:val="28"/>
        </w:rPr>
        <w:t xml:space="preserve"> года  10</w:t>
      </w:r>
      <w:r>
        <w:rPr>
          <w:rFonts w:ascii="Times New Roman" w:hAnsi="Times New Roman"/>
          <w:sz w:val="28"/>
          <w:szCs w:val="28"/>
        </w:rPr>
        <w:t xml:space="preserve"> трлн. </w:t>
      </w:r>
      <w:r w:rsidRPr="003D7C98">
        <w:rPr>
          <w:rFonts w:ascii="Times New Roman" w:hAnsi="Times New Roman"/>
          <w:sz w:val="28"/>
          <w:szCs w:val="28"/>
        </w:rPr>
        <w:t>503,9 млрд. рублей.</w:t>
      </w:r>
    </w:p>
    <w:p w:rsidR="00732B10" w:rsidRDefault="00732B10" w:rsidP="00732B10">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Состояние </w:t>
      </w:r>
      <w:r w:rsidRPr="009C1D54">
        <w:rPr>
          <w:rFonts w:ascii="Times New Roman" w:hAnsi="Times New Roman"/>
          <w:sz w:val="28"/>
          <w:szCs w:val="28"/>
        </w:rPr>
        <w:t xml:space="preserve">экономики Чеченской Республики в общих чертах характеризуют следующие показатели. </w:t>
      </w:r>
      <w:r>
        <w:rPr>
          <w:rFonts w:ascii="Times New Roman" w:hAnsi="Times New Roman"/>
          <w:sz w:val="28"/>
          <w:szCs w:val="28"/>
        </w:rPr>
        <w:t xml:space="preserve">Так, индекс промышленного производства в 2013 году составил 100,9% к уровню прошлого года. Рост продукции сельского хозяйства (в хозяйствах всех категорий) составил 106,2% к уровню 2012 года. Рост грузооборота транспорта (включая коммерческий и некоммерческий грузооборот) в 2013 году составил 105,2% к уровню прошлого года, в том числе рост коммерческого грузооборота транспорта составил всего 101,6%. Объем работ по виду деятельности «Строительство»  составил 8млрд. 803,3 млн. руб. или 46,5% к уровню  прошлого года.  Ввод жилых домов  организациями всех форм собственности в 2013 году составил 365,7 тыс. кв. м. общей площади или 115,8% к уровню прошлого года. Оборот  розничной торговли в 2013 году составил 102 млрд. 958,6 млн. руб. или 107,2% к уровню прошлого года. Оборот общественного питания в отчетном году составил 6669,1 млн. руб. или 152,4% к </w:t>
      </w:r>
      <w:proofErr w:type="gramStart"/>
      <w:r>
        <w:rPr>
          <w:rFonts w:ascii="Times New Roman" w:hAnsi="Times New Roman"/>
          <w:sz w:val="28"/>
          <w:szCs w:val="28"/>
        </w:rPr>
        <w:t>уроню  2012</w:t>
      </w:r>
      <w:proofErr w:type="gramEnd"/>
      <w:r>
        <w:rPr>
          <w:rFonts w:ascii="Times New Roman" w:hAnsi="Times New Roman"/>
          <w:sz w:val="28"/>
          <w:szCs w:val="28"/>
        </w:rPr>
        <w:t xml:space="preserve"> года. Объем платных услуг населению в 2013 году составил 19 млрд. 499,4 млн. руб. или 116,7% к уровню прошлого года.</w:t>
      </w:r>
    </w:p>
    <w:p w:rsidR="00732B10" w:rsidRDefault="00732B10" w:rsidP="00732B10">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Объем продукции обрабатывающих производств по видам экономической деятельности за 2013 год имел следующую структуру: на производство электрических машин и электрооборудования приходилось 13,3%; на производство транспортных средств и оборудования – 15,6%; на </w:t>
      </w:r>
      <w:r>
        <w:rPr>
          <w:rFonts w:ascii="Times New Roman" w:hAnsi="Times New Roman"/>
          <w:sz w:val="28"/>
          <w:szCs w:val="28"/>
        </w:rPr>
        <w:lastRenderedPageBreak/>
        <w:t>производство пищевых продуктов, включая напитки табак -19,1%; на производство прочих неметаллических минеральных продуктов – 42,3%. Все это наглядно видно на слайде № 2.</w:t>
      </w:r>
    </w:p>
    <w:p w:rsidR="00732B10" w:rsidRPr="002F06B6" w:rsidRDefault="00732B10" w:rsidP="00732B10">
      <w:pPr>
        <w:spacing w:after="0" w:line="360" w:lineRule="auto"/>
        <w:ind w:firstLine="709"/>
        <w:jc w:val="right"/>
        <w:rPr>
          <w:rFonts w:ascii="Times New Roman" w:hAnsi="Times New Roman"/>
          <w:b/>
          <w:sz w:val="28"/>
          <w:szCs w:val="28"/>
        </w:rPr>
      </w:pPr>
      <w:r>
        <w:rPr>
          <w:rFonts w:ascii="Times New Roman" w:hAnsi="Times New Roman"/>
          <w:b/>
          <w:sz w:val="28"/>
          <w:szCs w:val="28"/>
        </w:rPr>
        <w:t>Слайд № 2</w:t>
      </w:r>
    </w:p>
    <w:p w:rsidR="00732B10" w:rsidRDefault="00732B10" w:rsidP="00732B10">
      <w:pPr>
        <w:spacing w:after="0" w:line="360" w:lineRule="auto"/>
        <w:jc w:val="both"/>
        <w:rPr>
          <w:rFonts w:ascii="Times New Roman" w:hAnsi="Times New Roman"/>
          <w:sz w:val="28"/>
          <w:szCs w:val="28"/>
        </w:rPr>
      </w:pPr>
      <w:r>
        <w:rPr>
          <w:noProof/>
          <w:lang w:eastAsia="ru-RU"/>
        </w:rPr>
        <w:drawing>
          <wp:inline distT="0" distB="0" distL="0" distR="0" wp14:anchorId="7C2D281E" wp14:editId="6B68FB8F">
            <wp:extent cx="5940425" cy="3128508"/>
            <wp:effectExtent l="0" t="0" r="3175" b="0"/>
            <wp:docPr id="62" name="Диаграмма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bookmarkStart w:id="0" w:name="_GoBack"/>
      <w:bookmarkEnd w:id="0"/>
    </w:p>
    <w:p w:rsidR="00732B10" w:rsidRDefault="00732B10" w:rsidP="00732B10">
      <w:pPr>
        <w:spacing w:after="0" w:line="360" w:lineRule="auto"/>
        <w:jc w:val="both"/>
        <w:rPr>
          <w:rFonts w:ascii="Times New Roman" w:hAnsi="Times New Roman"/>
          <w:sz w:val="28"/>
          <w:szCs w:val="28"/>
        </w:rPr>
      </w:pPr>
      <w:r>
        <w:rPr>
          <w:rFonts w:ascii="Times New Roman" w:hAnsi="Times New Roman"/>
          <w:sz w:val="20"/>
          <w:szCs w:val="20"/>
        </w:rPr>
        <w:t xml:space="preserve">*) </w:t>
      </w:r>
      <w:r w:rsidRPr="00E26578">
        <w:rPr>
          <w:rFonts w:ascii="Times New Roman" w:hAnsi="Times New Roman"/>
          <w:b/>
          <w:sz w:val="20"/>
          <w:szCs w:val="20"/>
        </w:rPr>
        <w:t>Источник</w:t>
      </w:r>
      <w:r w:rsidRPr="003E5389">
        <w:rPr>
          <w:rFonts w:ascii="Times New Roman" w:hAnsi="Times New Roman"/>
          <w:sz w:val="20"/>
          <w:szCs w:val="20"/>
        </w:rPr>
        <w:t>:</w:t>
      </w:r>
      <w:r w:rsidRPr="009035A8">
        <w:rPr>
          <w:rFonts w:ascii="Times New Roman" w:hAnsi="Times New Roman"/>
          <w:sz w:val="20"/>
          <w:szCs w:val="20"/>
        </w:rPr>
        <w:t xml:space="preserve"> </w:t>
      </w:r>
      <w:r>
        <w:rPr>
          <w:rFonts w:ascii="Times New Roman" w:hAnsi="Times New Roman"/>
          <w:sz w:val="20"/>
          <w:szCs w:val="20"/>
        </w:rPr>
        <w:t>отчетная форма 428 (отчет об исполнении консолидированного бюджета субъекта)</w:t>
      </w:r>
    </w:p>
    <w:p w:rsidR="00732B10" w:rsidRDefault="00732B10" w:rsidP="00732B10">
      <w:pPr>
        <w:spacing w:after="0" w:line="360" w:lineRule="auto"/>
        <w:jc w:val="both"/>
        <w:rPr>
          <w:rFonts w:ascii="Times New Roman" w:hAnsi="Times New Roman"/>
          <w:sz w:val="28"/>
          <w:szCs w:val="28"/>
        </w:rPr>
      </w:pPr>
    </w:p>
    <w:p w:rsidR="00732B10" w:rsidRDefault="00732B10" w:rsidP="00732B10">
      <w:pPr>
        <w:spacing w:after="0" w:line="360" w:lineRule="auto"/>
        <w:jc w:val="both"/>
        <w:rPr>
          <w:rFonts w:ascii="Times New Roman" w:hAnsi="Times New Roman"/>
          <w:sz w:val="28"/>
          <w:szCs w:val="28"/>
        </w:rPr>
      </w:pPr>
      <w:r>
        <w:rPr>
          <w:rFonts w:ascii="Times New Roman" w:hAnsi="Times New Roman"/>
          <w:sz w:val="28"/>
          <w:szCs w:val="28"/>
        </w:rPr>
        <w:t xml:space="preserve">       Инвестиций в основной капитал по полному кругу в 2013 году составили 41 млрд. 167,5 млн. руб., что к уровню 2012 года составляет 92,0%. Инвестиции в основной капитал организаций (без субъектов малого предпринимательства) в 2013 году составили 24 млрд. 336,8 млн. руб., что к уровню 2012 года составляет 71,3%. В 2013 году инвестиции в основной капитал организаций (без субъектов малого предпринимательства) за счет </w:t>
      </w:r>
      <w:r w:rsidRPr="00E51020">
        <w:rPr>
          <w:rFonts w:ascii="Times New Roman" w:hAnsi="Times New Roman"/>
          <w:sz w:val="28"/>
          <w:szCs w:val="28"/>
        </w:rPr>
        <w:t>с</w:t>
      </w:r>
      <w:r>
        <w:rPr>
          <w:rFonts w:ascii="Times New Roman" w:hAnsi="Times New Roman"/>
          <w:sz w:val="28"/>
          <w:szCs w:val="28"/>
        </w:rPr>
        <w:t>обственных</w:t>
      </w:r>
      <w:r w:rsidRPr="00E51020">
        <w:rPr>
          <w:rFonts w:ascii="Times New Roman" w:hAnsi="Times New Roman"/>
          <w:sz w:val="28"/>
          <w:szCs w:val="28"/>
        </w:rPr>
        <w:t xml:space="preserve"> </w:t>
      </w:r>
      <w:r>
        <w:rPr>
          <w:rFonts w:ascii="Times New Roman" w:hAnsi="Times New Roman"/>
          <w:sz w:val="28"/>
          <w:szCs w:val="28"/>
        </w:rPr>
        <w:t>средств</w:t>
      </w:r>
      <w:r w:rsidRPr="00E51020">
        <w:rPr>
          <w:rFonts w:ascii="Times New Roman" w:hAnsi="Times New Roman"/>
          <w:sz w:val="28"/>
          <w:szCs w:val="28"/>
        </w:rPr>
        <w:t xml:space="preserve"> предприятий составили 4</w:t>
      </w:r>
      <w:r>
        <w:rPr>
          <w:rFonts w:ascii="Times New Roman" w:hAnsi="Times New Roman"/>
          <w:sz w:val="28"/>
          <w:szCs w:val="28"/>
        </w:rPr>
        <w:t xml:space="preserve"> млрд. </w:t>
      </w:r>
      <w:r w:rsidRPr="00E51020">
        <w:rPr>
          <w:rFonts w:ascii="Times New Roman" w:hAnsi="Times New Roman"/>
          <w:sz w:val="28"/>
          <w:szCs w:val="28"/>
        </w:rPr>
        <w:t xml:space="preserve">705,3 млн. руб. или </w:t>
      </w:r>
      <w:r>
        <w:rPr>
          <w:rFonts w:ascii="Times New Roman" w:hAnsi="Times New Roman"/>
          <w:sz w:val="28"/>
          <w:szCs w:val="28"/>
        </w:rPr>
        <w:t xml:space="preserve">118,2% к уровню 2012 года. </w:t>
      </w:r>
    </w:p>
    <w:p w:rsidR="00732B10" w:rsidRDefault="00732B10" w:rsidP="00732B10">
      <w:pPr>
        <w:spacing w:line="360" w:lineRule="auto"/>
        <w:jc w:val="both"/>
        <w:rPr>
          <w:rFonts w:ascii="Times New Roman" w:hAnsi="Times New Roman"/>
          <w:sz w:val="28"/>
          <w:szCs w:val="28"/>
        </w:rPr>
      </w:pPr>
      <w:r>
        <w:rPr>
          <w:rFonts w:ascii="Times New Roman" w:hAnsi="Times New Roman"/>
          <w:sz w:val="28"/>
          <w:szCs w:val="28"/>
        </w:rPr>
        <w:t xml:space="preserve">        Ч</w:t>
      </w:r>
      <w:r w:rsidRPr="006207C4">
        <w:rPr>
          <w:rFonts w:ascii="Times New Roman" w:hAnsi="Times New Roman"/>
          <w:sz w:val="28"/>
          <w:szCs w:val="28"/>
        </w:rPr>
        <w:t>исленность занятого населения в среднем за 2013 год составила 474,1 тыс. чел.</w:t>
      </w:r>
      <w:r>
        <w:rPr>
          <w:rFonts w:ascii="Times New Roman" w:hAnsi="Times New Roman"/>
          <w:sz w:val="28"/>
          <w:szCs w:val="28"/>
        </w:rPr>
        <w:t xml:space="preserve">, рост составил 113,2%. Общая численность безработных в 2013 году составила 174,7 тыс. чел., что составляет 26,9% к экономически активному населению республики. Численность официально зарегистрированных в службе занятости безработных в 2013 году составила 151,1 тыс. чел. или 23,3% к экономически активному населению. В 2013 году пособие по </w:t>
      </w:r>
      <w:r>
        <w:rPr>
          <w:rFonts w:ascii="Times New Roman" w:hAnsi="Times New Roman"/>
          <w:sz w:val="28"/>
          <w:szCs w:val="28"/>
        </w:rPr>
        <w:lastRenderedPageBreak/>
        <w:t xml:space="preserve">безработице получали 89,6 тыс. чел. Потребность работодателей в работниках, заявленная в государственных учреждениях службы занятости населения в 2013 году составила  всего 1399 человек.  </w:t>
      </w:r>
    </w:p>
    <w:p w:rsidR="00732B10" w:rsidRDefault="00732B10" w:rsidP="00732B10">
      <w:pPr>
        <w:spacing w:line="360" w:lineRule="auto"/>
        <w:jc w:val="both"/>
        <w:rPr>
          <w:rFonts w:ascii="Times New Roman" w:hAnsi="Times New Roman"/>
          <w:sz w:val="28"/>
          <w:szCs w:val="28"/>
        </w:rPr>
      </w:pPr>
      <w:r>
        <w:rPr>
          <w:rFonts w:ascii="Times New Roman" w:hAnsi="Times New Roman"/>
          <w:sz w:val="28"/>
          <w:szCs w:val="28"/>
        </w:rPr>
        <w:t xml:space="preserve">        Среднемесячная номинальная начисленная заработная плата одного работника по полному кругу организаций в 2013 году составила 20958,6 рублей. Рост реальной начисленной заработной платы одного работника  (скорректированной на индекс потребительских цен) в 2013 году по сравнению с 2012 годом составил 107,5 %. </w:t>
      </w:r>
    </w:p>
    <w:p w:rsidR="00732B10" w:rsidRDefault="00732B10" w:rsidP="00732B10">
      <w:pPr>
        <w:spacing w:line="360" w:lineRule="auto"/>
        <w:jc w:val="both"/>
        <w:rPr>
          <w:rFonts w:ascii="Times New Roman" w:hAnsi="Times New Roman"/>
          <w:sz w:val="28"/>
          <w:szCs w:val="28"/>
        </w:rPr>
      </w:pPr>
      <w:r>
        <w:rPr>
          <w:rFonts w:ascii="Times New Roman" w:hAnsi="Times New Roman"/>
          <w:sz w:val="28"/>
          <w:szCs w:val="28"/>
        </w:rPr>
        <w:t xml:space="preserve">        Денежные доходы (в среднем на душу населения) по Чеченской Республике в 2013 году  составили 17206,5 рублей, то есть рост  составил 112,8%.       </w:t>
      </w:r>
    </w:p>
    <w:p w:rsidR="00732B10" w:rsidRDefault="00732B10" w:rsidP="00732B10">
      <w:pPr>
        <w:spacing w:line="360" w:lineRule="auto"/>
        <w:jc w:val="both"/>
        <w:rPr>
          <w:rFonts w:ascii="Times New Roman" w:hAnsi="Times New Roman"/>
          <w:sz w:val="28"/>
          <w:szCs w:val="28"/>
        </w:rPr>
      </w:pPr>
      <w:r>
        <w:rPr>
          <w:rFonts w:ascii="Times New Roman" w:hAnsi="Times New Roman"/>
          <w:sz w:val="28"/>
          <w:szCs w:val="28"/>
        </w:rPr>
        <w:t xml:space="preserve">          Реальные денежные доходы населения в 2013 году по сравнению с предыдущим годом выросли на 6,8%. Величина прожиточного минимума для всего населения республики в 2013 году составила 7165 рублей, в том числе для трудоспособного населения  - 7776 рублей. </w:t>
      </w:r>
    </w:p>
    <w:p w:rsidR="00732B10" w:rsidRPr="00576626" w:rsidRDefault="00732B10" w:rsidP="00732B10">
      <w:pPr>
        <w:spacing w:after="0" w:line="360" w:lineRule="auto"/>
        <w:ind w:firstLine="709"/>
        <w:jc w:val="both"/>
        <w:rPr>
          <w:rFonts w:ascii="Times New Roman" w:hAnsi="Times New Roman"/>
          <w:sz w:val="28"/>
          <w:szCs w:val="28"/>
        </w:rPr>
      </w:pPr>
      <w:r w:rsidRPr="00576626">
        <w:rPr>
          <w:rFonts w:ascii="Times New Roman" w:hAnsi="Times New Roman"/>
          <w:sz w:val="28"/>
          <w:szCs w:val="28"/>
        </w:rPr>
        <w:t xml:space="preserve">Приведенные показатели развития </w:t>
      </w:r>
      <w:r>
        <w:rPr>
          <w:rFonts w:ascii="Times New Roman" w:hAnsi="Times New Roman"/>
          <w:sz w:val="28"/>
          <w:szCs w:val="28"/>
        </w:rPr>
        <w:t xml:space="preserve">региональной </w:t>
      </w:r>
      <w:proofErr w:type="gramStart"/>
      <w:r>
        <w:rPr>
          <w:rFonts w:ascii="Times New Roman" w:hAnsi="Times New Roman"/>
          <w:sz w:val="28"/>
          <w:szCs w:val="28"/>
        </w:rPr>
        <w:t xml:space="preserve">экономики </w:t>
      </w:r>
      <w:r w:rsidRPr="00576626">
        <w:rPr>
          <w:rFonts w:ascii="Times New Roman" w:hAnsi="Times New Roman"/>
          <w:sz w:val="28"/>
          <w:szCs w:val="28"/>
        </w:rPr>
        <w:t xml:space="preserve"> свидетельствуют</w:t>
      </w:r>
      <w:proofErr w:type="gramEnd"/>
      <w:r w:rsidRPr="00576626">
        <w:rPr>
          <w:rFonts w:ascii="Times New Roman" w:hAnsi="Times New Roman"/>
          <w:sz w:val="28"/>
          <w:szCs w:val="28"/>
        </w:rPr>
        <w:t xml:space="preserve"> о сохранении положительного тренда, однако снижение отдельных показателей свидетельствует о необходимости корректи</w:t>
      </w:r>
      <w:r>
        <w:rPr>
          <w:rFonts w:ascii="Times New Roman" w:hAnsi="Times New Roman"/>
          <w:sz w:val="28"/>
          <w:szCs w:val="28"/>
        </w:rPr>
        <w:t xml:space="preserve">ровки некоторых инструментов </w:t>
      </w:r>
      <w:r w:rsidRPr="00576626">
        <w:rPr>
          <w:rFonts w:ascii="Times New Roman" w:hAnsi="Times New Roman"/>
          <w:sz w:val="28"/>
          <w:szCs w:val="28"/>
        </w:rPr>
        <w:t>регулирования</w:t>
      </w:r>
      <w:r>
        <w:rPr>
          <w:rFonts w:ascii="Times New Roman" w:hAnsi="Times New Roman"/>
          <w:sz w:val="28"/>
          <w:szCs w:val="28"/>
        </w:rPr>
        <w:t xml:space="preserve"> экономики Чеченской Республики</w:t>
      </w:r>
      <w:r w:rsidRPr="00576626">
        <w:rPr>
          <w:rFonts w:ascii="Times New Roman" w:hAnsi="Times New Roman"/>
          <w:sz w:val="28"/>
          <w:szCs w:val="28"/>
        </w:rPr>
        <w:t>.</w:t>
      </w:r>
    </w:p>
    <w:p w:rsidR="00732B10" w:rsidRDefault="00732B10" w:rsidP="00732B10">
      <w:pPr>
        <w:spacing w:after="0" w:line="360" w:lineRule="auto"/>
        <w:jc w:val="both"/>
        <w:rPr>
          <w:rFonts w:ascii="Times New Roman" w:hAnsi="Times New Roman"/>
          <w:sz w:val="28"/>
          <w:szCs w:val="28"/>
        </w:rPr>
      </w:pPr>
    </w:p>
    <w:p w:rsidR="00732B10" w:rsidRPr="002F06B6" w:rsidRDefault="00732B10" w:rsidP="00732B10">
      <w:pPr>
        <w:spacing w:after="0" w:line="360" w:lineRule="auto"/>
        <w:jc w:val="both"/>
        <w:rPr>
          <w:rFonts w:ascii="Times New Roman" w:hAnsi="Times New Roman"/>
          <w:b/>
          <w:sz w:val="28"/>
          <w:szCs w:val="28"/>
        </w:rPr>
      </w:pPr>
      <w:r>
        <w:rPr>
          <w:rFonts w:ascii="Times New Roman" w:hAnsi="Times New Roman"/>
          <w:b/>
          <w:sz w:val="28"/>
          <w:szCs w:val="28"/>
          <w:lang w:val="en-US"/>
        </w:rPr>
        <w:t>II</w:t>
      </w:r>
      <w:r w:rsidRPr="002F06B6">
        <w:rPr>
          <w:rFonts w:ascii="Times New Roman" w:hAnsi="Times New Roman"/>
          <w:b/>
          <w:sz w:val="28"/>
          <w:szCs w:val="28"/>
        </w:rPr>
        <w:t>.</w:t>
      </w:r>
      <w:r>
        <w:rPr>
          <w:rFonts w:ascii="Times New Roman" w:hAnsi="Times New Roman"/>
          <w:b/>
          <w:sz w:val="28"/>
          <w:szCs w:val="28"/>
        </w:rPr>
        <w:t xml:space="preserve"> </w:t>
      </w:r>
      <w:r w:rsidRPr="002F06B6">
        <w:rPr>
          <w:rFonts w:ascii="Times New Roman" w:hAnsi="Times New Roman"/>
          <w:b/>
          <w:sz w:val="28"/>
          <w:szCs w:val="28"/>
        </w:rPr>
        <w:t>Исполнение консолидированного бюджета ЧР.</w:t>
      </w:r>
    </w:p>
    <w:p w:rsidR="00732B10" w:rsidRDefault="00732B10" w:rsidP="00732B10">
      <w:pPr>
        <w:spacing w:after="0" w:line="360" w:lineRule="auto"/>
        <w:ind w:firstLine="709"/>
        <w:jc w:val="both"/>
        <w:rPr>
          <w:rFonts w:ascii="Times New Roman" w:hAnsi="Times New Roman"/>
          <w:sz w:val="28"/>
          <w:szCs w:val="28"/>
        </w:rPr>
      </w:pPr>
      <w:r>
        <w:rPr>
          <w:rFonts w:ascii="Times New Roman" w:hAnsi="Times New Roman"/>
          <w:sz w:val="28"/>
          <w:szCs w:val="28"/>
        </w:rPr>
        <w:t>Ф</w:t>
      </w:r>
      <w:r w:rsidRPr="001D55DD">
        <w:rPr>
          <w:rFonts w:ascii="Times New Roman" w:hAnsi="Times New Roman"/>
          <w:sz w:val="28"/>
          <w:szCs w:val="28"/>
        </w:rPr>
        <w:t xml:space="preserve">искальная политика </w:t>
      </w:r>
      <w:r>
        <w:rPr>
          <w:rFonts w:ascii="Times New Roman" w:hAnsi="Times New Roman"/>
          <w:sz w:val="28"/>
          <w:szCs w:val="28"/>
        </w:rPr>
        <w:t xml:space="preserve">российского </w:t>
      </w:r>
      <w:r w:rsidRPr="001D55DD">
        <w:rPr>
          <w:rFonts w:ascii="Times New Roman" w:hAnsi="Times New Roman"/>
          <w:sz w:val="28"/>
          <w:szCs w:val="28"/>
        </w:rPr>
        <w:t>государства</w:t>
      </w:r>
      <w:r>
        <w:rPr>
          <w:rFonts w:ascii="Times New Roman" w:hAnsi="Times New Roman"/>
          <w:sz w:val="28"/>
          <w:szCs w:val="28"/>
        </w:rPr>
        <w:t xml:space="preserve"> </w:t>
      </w:r>
      <w:r w:rsidRPr="001D55DD">
        <w:rPr>
          <w:rFonts w:ascii="Times New Roman" w:hAnsi="Times New Roman"/>
          <w:sz w:val="28"/>
          <w:szCs w:val="28"/>
        </w:rPr>
        <w:t xml:space="preserve">проникает в сферу деятельности производства экономических благ, их распределения и конечного потребления. Через перераспределения части национального дохода государством  проводится активная социальная политика по обеспечению благоприятных условий проживания граждан. </w:t>
      </w:r>
    </w:p>
    <w:p w:rsidR="00732B10" w:rsidRDefault="00732B10" w:rsidP="00732B10">
      <w:pPr>
        <w:spacing w:after="0" w:line="360" w:lineRule="auto"/>
        <w:ind w:firstLine="709"/>
        <w:jc w:val="both"/>
        <w:rPr>
          <w:rFonts w:ascii="Times New Roman" w:hAnsi="Times New Roman"/>
          <w:sz w:val="28"/>
          <w:szCs w:val="28"/>
        </w:rPr>
      </w:pPr>
      <w:r w:rsidRPr="001D55DD">
        <w:rPr>
          <w:rFonts w:ascii="Times New Roman" w:hAnsi="Times New Roman"/>
          <w:sz w:val="28"/>
          <w:szCs w:val="28"/>
        </w:rPr>
        <w:t xml:space="preserve">Эти задачи стоят и перед бюджетной системой Чеченской Республики. Решая вопросы обеспечения развития экономики и социальной сферы, </w:t>
      </w:r>
      <w:r w:rsidRPr="001D55DD">
        <w:rPr>
          <w:rFonts w:ascii="Times New Roman" w:hAnsi="Times New Roman"/>
          <w:sz w:val="28"/>
          <w:szCs w:val="28"/>
        </w:rPr>
        <w:lastRenderedPageBreak/>
        <w:t>система государственных финансов республики функционировала в условиях общероссийских экономических проблем и особенностей условий нашего региона.</w:t>
      </w:r>
      <w:r>
        <w:rPr>
          <w:rFonts w:ascii="Times New Roman" w:hAnsi="Times New Roman"/>
          <w:sz w:val="28"/>
          <w:szCs w:val="28"/>
        </w:rPr>
        <w:t xml:space="preserve"> Рассмотрим итоги исполнения консолидированного бюджета Чеченской республики за 2013 год.</w:t>
      </w:r>
    </w:p>
    <w:p w:rsidR="00732B10" w:rsidRPr="007B6685" w:rsidRDefault="00732B10" w:rsidP="00732B10">
      <w:pPr>
        <w:spacing w:after="0" w:line="360" w:lineRule="auto"/>
        <w:ind w:firstLine="709"/>
        <w:jc w:val="both"/>
        <w:rPr>
          <w:rFonts w:ascii="Times New Roman" w:hAnsi="Times New Roman"/>
          <w:sz w:val="28"/>
          <w:szCs w:val="28"/>
        </w:rPr>
      </w:pPr>
      <w:r>
        <w:rPr>
          <w:rFonts w:ascii="Times New Roman" w:hAnsi="Times New Roman"/>
          <w:sz w:val="28"/>
          <w:szCs w:val="28"/>
        </w:rPr>
        <w:t xml:space="preserve">Бюджетный процесс в отчетном году осуществлялся в строгом соответствии с нормами бюджетного законодательства, а также дополнительными ограничениями для высокодотационных субъектов России, вытекающими из статей 130 и 136 Бюджетного кодекса Российской Федерации. </w:t>
      </w:r>
      <w:r w:rsidRPr="007B6685">
        <w:rPr>
          <w:rFonts w:ascii="Times New Roman" w:hAnsi="Times New Roman"/>
          <w:sz w:val="28"/>
          <w:szCs w:val="28"/>
        </w:rPr>
        <w:t>В состав консолидированного бюджета Чеченской Республики в 2013 году входили: 1 – республиканский бюджет, 15 – бюджетов муниципальных районов, 2 – бюджета городских округов, 220 – поселенческих бюджетов. Итого 238 обособленных бюджетов (без учета бюджетов государственных внебюджетных фондов).</w:t>
      </w:r>
    </w:p>
    <w:p w:rsidR="00732B10" w:rsidRDefault="00732B10" w:rsidP="00732B10">
      <w:pPr>
        <w:spacing w:after="0" w:line="360" w:lineRule="auto"/>
        <w:ind w:firstLine="709"/>
        <w:jc w:val="both"/>
        <w:rPr>
          <w:rFonts w:ascii="Times New Roman" w:hAnsi="Times New Roman"/>
          <w:sz w:val="28"/>
          <w:szCs w:val="28"/>
        </w:rPr>
      </w:pPr>
      <w:r w:rsidRPr="007B6685">
        <w:rPr>
          <w:rFonts w:ascii="Times New Roman" w:hAnsi="Times New Roman"/>
          <w:sz w:val="28"/>
          <w:szCs w:val="28"/>
        </w:rPr>
        <w:t>Правовым основанием расходования бюджетных средств в 2013 финансовом году был Закон Чеченской Республики от 20 декабря 2012 года    № 40-РЗ «О республиканском бюджете на 2013 год и на плановый период 2014 и 2015 годов», а также 237 решений о бюджетах муниципальных образований.</w:t>
      </w:r>
      <w:r>
        <w:rPr>
          <w:rFonts w:ascii="Times New Roman" w:hAnsi="Times New Roman"/>
          <w:sz w:val="28"/>
          <w:szCs w:val="28"/>
        </w:rPr>
        <w:t xml:space="preserve"> Бюджетный цикл Чеченской Республики за прошедший 2013 год представлен на слайде № 3.</w:t>
      </w:r>
    </w:p>
    <w:p w:rsidR="00732B10" w:rsidRPr="00433F89" w:rsidRDefault="00732B10" w:rsidP="00732B10">
      <w:pPr>
        <w:pStyle w:val="ConsPlusNormal"/>
        <w:spacing w:line="360" w:lineRule="auto"/>
        <w:ind w:firstLine="708"/>
        <w:jc w:val="right"/>
        <w:rPr>
          <w:rFonts w:ascii="Times New Roman" w:hAnsi="Times New Roman" w:cs="Times New Roman"/>
          <w:b/>
          <w:sz w:val="28"/>
          <w:szCs w:val="28"/>
        </w:rPr>
      </w:pPr>
      <w:r>
        <w:rPr>
          <w:rFonts w:ascii="Times New Roman" w:hAnsi="Times New Roman" w:cs="Times New Roman"/>
          <w:b/>
          <w:sz w:val="28"/>
          <w:szCs w:val="28"/>
        </w:rPr>
        <w:t>Слайд № 3</w:t>
      </w:r>
    </w:p>
    <w:p w:rsidR="00732B10" w:rsidRPr="00433F89" w:rsidRDefault="00732B10" w:rsidP="00732B10">
      <w:pPr>
        <w:pStyle w:val="ConsPlusNormal"/>
        <w:spacing w:line="360" w:lineRule="auto"/>
        <w:ind w:firstLine="0"/>
        <w:jc w:val="center"/>
        <w:rPr>
          <w:rFonts w:ascii="Times New Roman" w:hAnsi="Times New Roman" w:cs="Times New Roman"/>
          <w:b/>
          <w:sz w:val="28"/>
          <w:szCs w:val="28"/>
        </w:rPr>
      </w:pPr>
      <w:r w:rsidRPr="00433F89">
        <w:rPr>
          <w:rFonts w:ascii="Times New Roman" w:hAnsi="Times New Roman" w:cs="Times New Roman"/>
          <w:b/>
          <w:sz w:val="28"/>
          <w:szCs w:val="28"/>
        </w:rPr>
        <w:t>Бюджетный цикл Чеченской Республики за 2013 год</w:t>
      </w:r>
    </w:p>
    <w:tbl>
      <w:tblPr>
        <w:tblStyle w:val="a3"/>
        <w:tblW w:w="9373" w:type="dxa"/>
        <w:tblLook w:val="01E0" w:firstRow="1" w:lastRow="1" w:firstColumn="1" w:lastColumn="1" w:noHBand="0" w:noVBand="0"/>
      </w:tblPr>
      <w:tblGrid>
        <w:gridCol w:w="1951"/>
        <w:gridCol w:w="7422"/>
      </w:tblGrid>
      <w:tr w:rsidR="00732B10" w:rsidRPr="00433F89" w:rsidTr="005C6257">
        <w:trPr>
          <w:trHeight w:val="291"/>
        </w:trPr>
        <w:tc>
          <w:tcPr>
            <w:tcW w:w="1951" w:type="dxa"/>
          </w:tcPr>
          <w:p w:rsidR="00732B10" w:rsidRPr="00433F89" w:rsidRDefault="00732B10" w:rsidP="005C6257">
            <w:pPr>
              <w:jc w:val="center"/>
              <w:rPr>
                <w:rFonts w:ascii="Times New Roman" w:hAnsi="Times New Roman"/>
                <w:b/>
                <w:i/>
                <w:sz w:val="22"/>
                <w:szCs w:val="26"/>
              </w:rPr>
            </w:pPr>
            <w:r w:rsidRPr="00433F89">
              <w:rPr>
                <w:rFonts w:ascii="Times New Roman" w:hAnsi="Times New Roman"/>
                <w:b/>
                <w:sz w:val="22"/>
                <w:szCs w:val="26"/>
              </w:rPr>
              <w:t>Период</w:t>
            </w:r>
          </w:p>
        </w:tc>
        <w:tc>
          <w:tcPr>
            <w:tcW w:w="7422" w:type="dxa"/>
          </w:tcPr>
          <w:p w:rsidR="00732B10" w:rsidRPr="00433F89" w:rsidRDefault="00732B10" w:rsidP="005C6257">
            <w:pPr>
              <w:jc w:val="center"/>
              <w:rPr>
                <w:rFonts w:ascii="Times New Roman" w:hAnsi="Times New Roman"/>
                <w:b/>
                <w:sz w:val="22"/>
                <w:szCs w:val="26"/>
              </w:rPr>
            </w:pPr>
            <w:r w:rsidRPr="00433F89">
              <w:rPr>
                <w:rFonts w:ascii="Times New Roman" w:hAnsi="Times New Roman"/>
                <w:b/>
                <w:sz w:val="22"/>
                <w:szCs w:val="26"/>
              </w:rPr>
              <w:t>Мероприятия</w:t>
            </w:r>
          </w:p>
        </w:tc>
      </w:tr>
      <w:tr w:rsidR="00732B10" w:rsidRPr="00433F89" w:rsidTr="005C6257">
        <w:trPr>
          <w:trHeight w:val="541"/>
        </w:trPr>
        <w:tc>
          <w:tcPr>
            <w:tcW w:w="1951" w:type="dxa"/>
          </w:tcPr>
          <w:p w:rsidR="00732B10" w:rsidRPr="00433F89" w:rsidRDefault="00732B10" w:rsidP="005C6257">
            <w:pPr>
              <w:rPr>
                <w:rFonts w:ascii="Times New Roman" w:hAnsi="Times New Roman"/>
                <w:sz w:val="22"/>
                <w:szCs w:val="26"/>
              </w:rPr>
            </w:pPr>
            <w:r w:rsidRPr="00433F89">
              <w:rPr>
                <w:rFonts w:ascii="Times New Roman" w:hAnsi="Times New Roman"/>
                <w:sz w:val="22"/>
                <w:szCs w:val="26"/>
              </w:rPr>
              <w:t xml:space="preserve">Апрель-июнь </w:t>
            </w:r>
            <w:r>
              <w:rPr>
                <w:rFonts w:ascii="Times New Roman" w:hAnsi="Times New Roman"/>
                <w:sz w:val="22"/>
                <w:szCs w:val="26"/>
              </w:rPr>
              <w:t xml:space="preserve">     </w:t>
            </w:r>
            <w:r w:rsidRPr="00433F89">
              <w:rPr>
                <w:rFonts w:ascii="Times New Roman" w:hAnsi="Times New Roman"/>
                <w:sz w:val="22"/>
                <w:szCs w:val="26"/>
              </w:rPr>
              <w:t>2012 года</w:t>
            </w:r>
          </w:p>
        </w:tc>
        <w:tc>
          <w:tcPr>
            <w:tcW w:w="7422" w:type="dxa"/>
          </w:tcPr>
          <w:p w:rsidR="00732B10" w:rsidRPr="00433F89" w:rsidRDefault="00732B10" w:rsidP="005C6257">
            <w:pPr>
              <w:jc w:val="both"/>
              <w:rPr>
                <w:rFonts w:ascii="Times New Roman" w:hAnsi="Times New Roman"/>
                <w:sz w:val="22"/>
                <w:szCs w:val="26"/>
              </w:rPr>
            </w:pPr>
            <w:r w:rsidRPr="00433F89">
              <w:rPr>
                <w:rFonts w:ascii="Times New Roman" w:hAnsi="Times New Roman"/>
                <w:sz w:val="22"/>
                <w:szCs w:val="26"/>
              </w:rPr>
              <w:t>Сбор, обработка, и подготовка основных параметров консолидированного бюджета Чеченской Республики.</w:t>
            </w:r>
          </w:p>
        </w:tc>
      </w:tr>
      <w:tr w:rsidR="00732B10" w:rsidRPr="00433F89" w:rsidTr="005C6257">
        <w:trPr>
          <w:trHeight w:val="1230"/>
        </w:trPr>
        <w:tc>
          <w:tcPr>
            <w:tcW w:w="1951" w:type="dxa"/>
          </w:tcPr>
          <w:p w:rsidR="00732B10" w:rsidRPr="00433F89" w:rsidRDefault="00732B10" w:rsidP="005C6257">
            <w:pPr>
              <w:rPr>
                <w:rFonts w:ascii="Times New Roman" w:hAnsi="Times New Roman"/>
                <w:sz w:val="22"/>
                <w:szCs w:val="26"/>
              </w:rPr>
            </w:pPr>
            <w:r w:rsidRPr="00433F89">
              <w:rPr>
                <w:rFonts w:ascii="Times New Roman" w:hAnsi="Times New Roman"/>
                <w:sz w:val="22"/>
                <w:szCs w:val="26"/>
              </w:rPr>
              <w:t>Июнь-сентябрь</w:t>
            </w:r>
            <w:r>
              <w:rPr>
                <w:rFonts w:ascii="Times New Roman" w:hAnsi="Times New Roman"/>
                <w:sz w:val="22"/>
                <w:szCs w:val="26"/>
              </w:rPr>
              <w:t xml:space="preserve">   </w:t>
            </w:r>
            <w:r w:rsidRPr="00433F89">
              <w:rPr>
                <w:rFonts w:ascii="Times New Roman" w:hAnsi="Times New Roman"/>
                <w:sz w:val="22"/>
                <w:szCs w:val="26"/>
              </w:rPr>
              <w:t xml:space="preserve"> 2012 года</w:t>
            </w:r>
          </w:p>
        </w:tc>
        <w:tc>
          <w:tcPr>
            <w:tcW w:w="7422" w:type="dxa"/>
          </w:tcPr>
          <w:p w:rsidR="00732B10" w:rsidRPr="00433F89" w:rsidRDefault="00732B10" w:rsidP="005C6257">
            <w:pPr>
              <w:jc w:val="both"/>
              <w:rPr>
                <w:rFonts w:ascii="Times New Roman" w:hAnsi="Times New Roman"/>
                <w:sz w:val="22"/>
                <w:szCs w:val="26"/>
              </w:rPr>
            </w:pPr>
            <w:r w:rsidRPr="00433F89">
              <w:rPr>
                <w:rFonts w:ascii="Times New Roman" w:hAnsi="Times New Roman"/>
                <w:sz w:val="22"/>
                <w:szCs w:val="26"/>
              </w:rPr>
              <w:t>В соответствии с ст. 131 Бюджетного кодекса РФ подготовка и представление исходных данных для проведения расчетов распределения дотаций на выравнивание бюджетной обеспеченности Чеченской Республики, согласование основных параметров бюджета Чеченской Республики в Министерство финансов РФ</w:t>
            </w:r>
          </w:p>
        </w:tc>
      </w:tr>
      <w:tr w:rsidR="00732B10" w:rsidRPr="00433F89" w:rsidTr="005C6257">
        <w:trPr>
          <w:trHeight w:val="1234"/>
        </w:trPr>
        <w:tc>
          <w:tcPr>
            <w:tcW w:w="1951" w:type="dxa"/>
          </w:tcPr>
          <w:p w:rsidR="00732B10" w:rsidRPr="00433F89" w:rsidRDefault="00732B10" w:rsidP="005C6257">
            <w:pPr>
              <w:rPr>
                <w:rFonts w:ascii="Times New Roman" w:hAnsi="Times New Roman"/>
                <w:sz w:val="22"/>
                <w:szCs w:val="26"/>
              </w:rPr>
            </w:pPr>
            <w:r w:rsidRPr="00433F89">
              <w:rPr>
                <w:rFonts w:ascii="Times New Roman" w:hAnsi="Times New Roman"/>
                <w:sz w:val="22"/>
                <w:szCs w:val="26"/>
              </w:rPr>
              <w:t>Июнь 2012 года</w:t>
            </w:r>
          </w:p>
        </w:tc>
        <w:tc>
          <w:tcPr>
            <w:tcW w:w="7422" w:type="dxa"/>
          </w:tcPr>
          <w:p w:rsidR="00732B10" w:rsidRPr="00433F89" w:rsidRDefault="00732B10" w:rsidP="005C6257">
            <w:pPr>
              <w:pStyle w:val="ConsNonformat"/>
              <w:widowControl/>
              <w:jc w:val="both"/>
              <w:rPr>
                <w:rFonts w:ascii="Times New Roman" w:hAnsi="Times New Roman" w:cs="Times New Roman"/>
                <w:sz w:val="22"/>
                <w:szCs w:val="26"/>
              </w:rPr>
            </w:pPr>
            <w:r w:rsidRPr="00433F89">
              <w:rPr>
                <w:rFonts w:ascii="Times New Roman" w:hAnsi="Times New Roman" w:cs="Times New Roman"/>
                <w:sz w:val="22"/>
                <w:szCs w:val="26"/>
              </w:rPr>
              <w:t>Организация работы бюджетной комиссии в соответствии с Постановлением Правительства Чеченской Республики от 20 июня 2008 г. №106 «О порядке составления проектов республиканского бюджета и Бюджета Территориального Фонда Обязательного Медицинского Страхования Чеченской Республики».</w:t>
            </w:r>
          </w:p>
        </w:tc>
      </w:tr>
      <w:tr w:rsidR="00732B10" w:rsidRPr="00433F89" w:rsidTr="005C6257">
        <w:trPr>
          <w:trHeight w:val="698"/>
        </w:trPr>
        <w:tc>
          <w:tcPr>
            <w:tcW w:w="1951" w:type="dxa"/>
          </w:tcPr>
          <w:p w:rsidR="00732B10" w:rsidRPr="00433F89" w:rsidRDefault="00732B10" w:rsidP="005C6257">
            <w:pPr>
              <w:rPr>
                <w:rFonts w:ascii="Times New Roman" w:hAnsi="Times New Roman"/>
                <w:sz w:val="22"/>
                <w:szCs w:val="26"/>
              </w:rPr>
            </w:pPr>
            <w:r w:rsidRPr="00433F89">
              <w:rPr>
                <w:rFonts w:ascii="Times New Roman" w:hAnsi="Times New Roman"/>
                <w:sz w:val="22"/>
                <w:szCs w:val="26"/>
              </w:rPr>
              <w:t>Июль – октябрь          2012 года</w:t>
            </w:r>
          </w:p>
        </w:tc>
        <w:tc>
          <w:tcPr>
            <w:tcW w:w="7422" w:type="dxa"/>
          </w:tcPr>
          <w:p w:rsidR="00732B10" w:rsidRPr="00433F89" w:rsidRDefault="00732B10" w:rsidP="005C6257">
            <w:pPr>
              <w:jc w:val="both"/>
              <w:rPr>
                <w:rFonts w:ascii="Times New Roman" w:hAnsi="Times New Roman"/>
                <w:sz w:val="22"/>
                <w:szCs w:val="26"/>
              </w:rPr>
            </w:pPr>
            <w:r w:rsidRPr="00433F89">
              <w:rPr>
                <w:rFonts w:ascii="Times New Roman" w:hAnsi="Times New Roman"/>
                <w:sz w:val="22"/>
                <w:szCs w:val="26"/>
              </w:rPr>
              <w:t xml:space="preserve">Проведение заседаний бюджетной комиссии по вопросам согласования параметров республиканского бюджета и бюджетов муниципальных образований на 2012 год. </w:t>
            </w:r>
          </w:p>
        </w:tc>
      </w:tr>
      <w:tr w:rsidR="00732B10" w:rsidRPr="00433F89" w:rsidTr="005C6257">
        <w:trPr>
          <w:trHeight w:val="496"/>
        </w:trPr>
        <w:tc>
          <w:tcPr>
            <w:tcW w:w="1951" w:type="dxa"/>
          </w:tcPr>
          <w:p w:rsidR="00732B10" w:rsidRPr="00433F89" w:rsidRDefault="00732B10" w:rsidP="005C6257">
            <w:pPr>
              <w:rPr>
                <w:rFonts w:ascii="Times New Roman" w:hAnsi="Times New Roman"/>
                <w:sz w:val="22"/>
                <w:szCs w:val="26"/>
              </w:rPr>
            </w:pPr>
            <w:r w:rsidRPr="00433F89">
              <w:rPr>
                <w:rFonts w:ascii="Times New Roman" w:hAnsi="Times New Roman"/>
                <w:sz w:val="22"/>
                <w:szCs w:val="26"/>
              </w:rPr>
              <w:lastRenderedPageBreak/>
              <w:t xml:space="preserve">Октябрь 2012 года </w:t>
            </w:r>
          </w:p>
        </w:tc>
        <w:tc>
          <w:tcPr>
            <w:tcW w:w="7422" w:type="dxa"/>
          </w:tcPr>
          <w:p w:rsidR="00732B10" w:rsidRPr="00433F89" w:rsidRDefault="00732B10" w:rsidP="005C6257">
            <w:pPr>
              <w:jc w:val="both"/>
              <w:rPr>
                <w:rFonts w:ascii="Times New Roman" w:hAnsi="Times New Roman"/>
                <w:sz w:val="22"/>
                <w:szCs w:val="26"/>
              </w:rPr>
            </w:pPr>
            <w:r w:rsidRPr="00433F89">
              <w:rPr>
                <w:rFonts w:ascii="Times New Roman" w:hAnsi="Times New Roman"/>
                <w:sz w:val="22"/>
                <w:szCs w:val="26"/>
              </w:rPr>
              <w:t>Завершение работы по подготовке проекта республиканского бюджета и согласование параметров бюджетов муниципальных образований на 2013</w:t>
            </w:r>
            <w:r>
              <w:rPr>
                <w:rFonts w:ascii="Times New Roman" w:hAnsi="Times New Roman"/>
                <w:sz w:val="22"/>
                <w:szCs w:val="26"/>
              </w:rPr>
              <w:t xml:space="preserve"> г</w:t>
            </w:r>
            <w:r w:rsidRPr="00433F89">
              <w:rPr>
                <w:rFonts w:ascii="Times New Roman" w:hAnsi="Times New Roman"/>
                <w:sz w:val="22"/>
                <w:szCs w:val="26"/>
              </w:rPr>
              <w:t>.</w:t>
            </w:r>
          </w:p>
        </w:tc>
      </w:tr>
      <w:tr w:rsidR="00732B10" w:rsidRPr="00433F89" w:rsidTr="005C6257">
        <w:trPr>
          <w:trHeight w:val="1002"/>
        </w:trPr>
        <w:tc>
          <w:tcPr>
            <w:tcW w:w="1951" w:type="dxa"/>
          </w:tcPr>
          <w:p w:rsidR="00732B10" w:rsidRPr="00433F89" w:rsidRDefault="00732B10" w:rsidP="005C6257">
            <w:pPr>
              <w:rPr>
                <w:rFonts w:ascii="Times New Roman" w:hAnsi="Times New Roman"/>
                <w:sz w:val="22"/>
                <w:szCs w:val="26"/>
              </w:rPr>
            </w:pPr>
            <w:r w:rsidRPr="00433F89">
              <w:rPr>
                <w:rFonts w:ascii="Times New Roman" w:hAnsi="Times New Roman"/>
                <w:sz w:val="22"/>
                <w:szCs w:val="26"/>
              </w:rPr>
              <w:t>Ноябрь 2012 года</w:t>
            </w:r>
          </w:p>
        </w:tc>
        <w:tc>
          <w:tcPr>
            <w:tcW w:w="7422" w:type="dxa"/>
          </w:tcPr>
          <w:p w:rsidR="00732B10" w:rsidRPr="00433F89" w:rsidRDefault="00732B10" w:rsidP="005C6257">
            <w:pPr>
              <w:jc w:val="both"/>
              <w:rPr>
                <w:rFonts w:ascii="Times New Roman" w:hAnsi="Times New Roman"/>
                <w:sz w:val="22"/>
                <w:szCs w:val="26"/>
              </w:rPr>
            </w:pPr>
            <w:r w:rsidRPr="00433F89">
              <w:rPr>
                <w:rFonts w:ascii="Times New Roman" w:hAnsi="Times New Roman"/>
                <w:sz w:val="22"/>
                <w:szCs w:val="26"/>
              </w:rPr>
              <w:t>Внесение проекта закона Чеченской Республики «О республиканском бюджете Чеченской Республики на 2013 год и на плановый период 2014 и 2015 годов» в Парламент Чеченской Республики и представление его на заключение в Министерство финансов Российской Федерации.</w:t>
            </w:r>
          </w:p>
        </w:tc>
      </w:tr>
      <w:tr w:rsidR="00732B10" w:rsidRPr="00433F89" w:rsidTr="005C6257">
        <w:trPr>
          <w:trHeight w:val="691"/>
        </w:trPr>
        <w:tc>
          <w:tcPr>
            <w:tcW w:w="1951" w:type="dxa"/>
          </w:tcPr>
          <w:p w:rsidR="00732B10" w:rsidRPr="00433F89" w:rsidRDefault="00732B10" w:rsidP="005C6257">
            <w:pPr>
              <w:rPr>
                <w:rFonts w:ascii="Times New Roman" w:hAnsi="Times New Roman"/>
                <w:sz w:val="22"/>
                <w:szCs w:val="26"/>
              </w:rPr>
            </w:pPr>
            <w:r w:rsidRPr="00433F89">
              <w:rPr>
                <w:rFonts w:ascii="Times New Roman" w:hAnsi="Times New Roman"/>
                <w:sz w:val="22"/>
                <w:szCs w:val="26"/>
              </w:rPr>
              <w:t>Декабрь 2012 года</w:t>
            </w:r>
          </w:p>
        </w:tc>
        <w:tc>
          <w:tcPr>
            <w:tcW w:w="7422" w:type="dxa"/>
          </w:tcPr>
          <w:p w:rsidR="00732B10" w:rsidRPr="00433F89" w:rsidRDefault="00732B10" w:rsidP="005C6257">
            <w:pPr>
              <w:jc w:val="both"/>
              <w:rPr>
                <w:rFonts w:ascii="Times New Roman" w:hAnsi="Times New Roman"/>
                <w:sz w:val="22"/>
                <w:szCs w:val="26"/>
              </w:rPr>
            </w:pPr>
            <w:r w:rsidRPr="00433F89">
              <w:rPr>
                <w:rFonts w:ascii="Times New Roman" w:hAnsi="Times New Roman"/>
                <w:sz w:val="22"/>
                <w:szCs w:val="26"/>
              </w:rPr>
              <w:t>Рассмотрение в Парламенте Чеченской Республики проекта закона «О республиканском бюджете Чеченской Республики на 2013 год и на плановый период 2014 и 2015 годов» в первом чтении и втором чтении.</w:t>
            </w:r>
          </w:p>
        </w:tc>
      </w:tr>
      <w:tr w:rsidR="00732B10" w:rsidRPr="00433F89" w:rsidTr="005C6257">
        <w:trPr>
          <w:trHeight w:val="757"/>
        </w:trPr>
        <w:tc>
          <w:tcPr>
            <w:tcW w:w="1951" w:type="dxa"/>
          </w:tcPr>
          <w:p w:rsidR="00732B10" w:rsidRPr="00433F89" w:rsidRDefault="00732B10" w:rsidP="005C6257">
            <w:pPr>
              <w:rPr>
                <w:rFonts w:ascii="Times New Roman" w:hAnsi="Times New Roman"/>
                <w:sz w:val="22"/>
                <w:szCs w:val="26"/>
              </w:rPr>
            </w:pPr>
          </w:p>
        </w:tc>
        <w:tc>
          <w:tcPr>
            <w:tcW w:w="7422" w:type="dxa"/>
          </w:tcPr>
          <w:p w:rsidR="00732B10" w:rsidRPr="00433F89" w:rsidRDefault="00732B10" w:rsidP="005C6257">
            <w:pPr>
              <w:jc w:val="both"/>
              <w:rPr>
                <w:rFonts w:ascii="Times New Roman" w:hAnsi="Times New Roman"/>
                <w:sz w:val="22"/>
                <w:szCs w:val="26"/>
              </w:rPr>
            </w:pPr>
            <w:r w:rsidRPr="00433F89">
              <w:rPr>
                <w:rFonts w:ascii="Times New Roman" w:hAnsi="Times New Roman"/>
                <w:sz w:val="22"/>
                <w:szCs w:val="26"/>
              </w:rPr>
              <w:t>Принятие и утверждение Закона Чеченской Республики от 30.11.2011г. №40-РЗ «О республиканском бюджете Чеченской Республики на 2013 год и на плановый период 2014 и 2015 годов».</w:t>
            </w:r>
          </w:p>
        </w:tc>
      </w:tr>
      <w:tr w:rsidR="00732B10" w:rsidRPr="00433F89" w:rsidTr="005C6257">
        <w:trPr>
          <w:trHeight w:val="1763"/>
        </w:trPr>
        <w:tc>
          <w:tcPr>
            <w:tcW w:w="1951" w:type="dxa"/>
          </w:tcPr>
          <w:p w:rsidR="00732B10" w:rsidRPr="00433F89" w:rsidRDefault="00732B10" w:rsidP="005C6257">
            <w:pPr>
              <w:rPr>
                <w:rFonts w:ascii="Times New Roman" w:hAnsi="Times New Roman"/>
                <w:sz w:val="22"/>
                <w:szCs w:val="26"/>
              </w:rPr>
            </w:pPr>
            <w:r w:rsidRPr="00433F89">
              <w:rPr>
                <w:rFonts w:ascii="Times New Roman" w:hAnsi="Times New Roman"/>
                <w:sz w:val="22"/>
                <w:szCs w:val="26"/>
              </w:rPr>
              <w:t>Декабрь 2012 года</w:t>
            </w:r>
          </w:p>
        </w:tc>
        <w:tc>
          <w:tcPr>
            <w:tcW w:w="7422" w:type="dxa"/>
          </w:tcPr>
          <w:p w:rsidR="00732B10" w:rsidRPr="00433F89" w:rsidRDefault="00732B10" w:rsidP="005C6257">
            <w:pPr>
              <w:jc w:val="both"/>
              <w:rPr>
                <w:rFonts w:ascii="Times New Roman" w:hAnsi="Times New Roman"/>
                <w:sz w:val="22"/>
                <w:szCs w:val="26"/>
              </w:rPr>
            </w:pPr>
            <w:r w:rsidRPr="00433F89">
              <w:rPr>
                <w:rFonts w:ascii="Times New Roman" w:hAnsi="Times New Roman"/>
                <w:sz w:val="22"/>
                <w:szCs w:val="26"/>
              </w:rPr>
              <w:t>В соответствии Приказом Министерства финансов Чеченской Республики от 02.12.2009 №166-п «Об утверждении Порядка составления и ведения сводной бюджетной росписи республиканского бюджета и бюджетных росписей главных распорядителей средств республиканского бюджета (главных администраторов источников финансирования дефицита республиканского бюджета)» утверждение сводной бюджетной росписи республиканского бюджета на 2013 год.</w:t>
            </w:r>
          </w:p>
        </w:tc>
      </w:tr>
      <w:tr w:rsidR="00732B10" w:rsidRPr="00433F89" w:rsidTr="005C6257">
        <w:trPr>
          <w:trHeight w:val="291"/>
        </w:trPr>
        <w:tc>
          <w:tcPr>
            <w:tcW w:w="1951" w:type="dxa"/>
          </w:tcPr>
          <w:p w:rsidR="00732B10" w:rsidRPr="00433F89" w:rsidRDefault="00732B10" w:rsidP="005C6257">
            <w:pPr>
              <w:rPr>
                <w:rFonts w:ascii="Times New Roman" w:hAnsi="Times New Roman"/>
                <w:sz w:val="22"/>
                <w:szCs w:val="26"/>
              </w:rPr>
            </w:pPr>
            <w:r w:rsidRPr="00433F89">
              <w:rPr>
                <w:rFonts w:ascii="Times New Roman" w:hAnsi="Times New Roman"/>
                <w:sz w:val="22"/>
                <w:szCs w:val="26"/>
              </w:rPr>
              <w:t>Август 2013 года</w:t>
            </w:r>
          </w:p>
        </w:tc>
        <w:tc>
          <w:tcPr>
            <w:tcW w:w="7422" w:type="dxa"/>
          </w:tcPr>
          <w:p w:rsidR="00732B10" w:rsidRPr="00433F89" w:rsidRDefault="00732B10" w:rsidP="005C6257">
            <w:pPr>
              <w:jc w:val="both"/>
              <w:rPr>
                <w:rFonts w:ascii="Times New Roman" w:hAnsi="Times New Roman"/>
                <w:sz w:val="22"/>
                <w:szCs w:val="26"/>
              </w:rPr>
            </w:pPr>
            <w:r w:rsidRPr="00433F89">
              <w:rPr>
                <w:rFonts w:ascii="Times New Roman" w:hAnsi="Times New Roman"/>
                <w:sz w:val="22"/>
                <w:szCs w:val="26"/>
              </w:rPr>
              <w:t>Закон Чеченской Республики от 28.08.2013г. №26-РЗ «О внесении изменений в закон Чеченской Республики «О республиканском бюджете на 2013 год и на плановый период 2014 и 2015 годов».</w:t>
            </w:r>
          </w:p>
        </w:tc>
      </w:tr>
      <w:tr w:rsidR="00732B10" w:rsidRPr="00433F89" w:rsidTr="005C6257">
        <w:trPr>
          <w:trHeight w:val="749"/>
        </w:trPr>
        <w:tc>
          <w:tcPr>
            <w:tcW w:w="1951" w:type="dxa"/>
          </w:tcPr>
          <w:p w:rsidR="00732B10" w:rsidRPr="00433F89" w:rsidRDefault="00732B10" w:rsidP="005C6257">
            <w:pPr>
              <w:rPr>
                <w:rFonts w:ascii="Times New Roman" w:hAnsi="Times New Roman"/>
                <w:sz w:val="22"/>
                <w:szCs w:val="26"/>
              </w:rPr>
            </w:pPr>
            <w:r w:rsidRPr="00433F89">
              <w:rPr>
                <w:rFonts w:ascii="Times New Roman" w:hAnsi="Times New Roman"/>
                <w:sz w:val="22"/>
                <w:szCs w:val="26"/>
              </w:rPr>
              <w:t>Декабрь 2013 года</w:t>
            </w:r>
          </w:p>
        </w:tc>
        <w:tc>
          <w:tcPr>
            <w:tcW w:w="7422" w:type="dxa"/>
          </w:tcPr>
          <w:p w:rsidR="00732B10" w:rsidRPr="00433F89" w:rsidRDefault="00732B10" w:rsidP="005C6257">
            <w:pPr>
              <w:jc w:val="both"/>
              <w:rPr>
                <w:rFonts w:ascii="Times New Roman" w:hAnsi="Times New Roman"/>
                <w:sz w:val="22"/>
                <w:szCs w:val="26"/>
              </w:rPr>
            </w:pPr>
            <w:r w:rsidRPr="00433F89">
              <w:rPr>
                <w:rFonts w:ascii="Times New Roman" w:hAnsi="Times New Roman"/>
                <w:sz w:val="22"/>
                <w:szCs w:val="26"/>
              </w:rPr>
              <w:t>Закон Чеченской Республики от 09.12.2013г. №36-РЗ «О внесении изменений в закон Чеченской Республики «О республиканском бюджете на 2013 год и на плановый период 2014 и 2015 годов».</w:t>
            </w:r>
          </w:p>
        </w:tc>
      </w:tr>
      <w:tr w:rsidR="00732B10" w:rsidRPr="00433F89" w:rsidTr="005C6257">
        <w:trPr>
          <w:trHeight w:val="2476"/>
        </w:trPr>
        <w:tc>
          <w:tcPr>
            <w:tcW w:w="1951" w:type="dxa"/>
          </w:tcPr>
          <w:p w:rsidR="00732B10" w:rsidRPr="00433F89" w:rsidRDefault="00732B10" w:rsidP="005C6257">
            <w:pPr>
              <w:rPr>
                <w:rFonts w:ascii="Times New Roman" w:hAnsi="Times New Roman"/>
                <w:sz w:val="22"/>
                <w:szCs w:val="26"/>
              </w:rPr>
            </w:pPr>
            <w:r w:rsidRPr="00433F89">
              <w:rPr>
                <w:rFonts w:ascii="Times New Roman" w:hAnsi="Times New Roman"/>
                <w:sz w:val="22"/>
                <w:szCs w:val="26"/>
              </w:rPr>
              <w:t>Февраль – март 2013 года</w:t>
            </w:r>
          </w:p>
        </w:tc>
        <w:tc>
          <w:tcPr>
            <w:tcW w:w="7422" w:type="dxa"/>
          </w:tcPr>
          <w:p w:rsidR="00732B10" w:rsidRPr="00433F89" w:rsidRDefault="00732B10" w:rsidP="005C6257">
            <w:pPr>
              <w:jc w:val="both"/>
              <w:rPr>
                <w:sz w:val="22"/>
              </w:rPr>
            </w:pPr>
            <w:r w:rsidRPr="00433F89">
              <w:rPr>
                <w:rFonts w:ascii="Times New Roman" w:hAnsi="Times New Roman"/>
                <w:sz w:val="22"/>
                <w:szCs w:val="26"/>
              </w:rPr>
              <w:t>Приказ Казначейства России от 20.09.2013 №21н</w:t>
            </w:r>
            <w:r w:rsidRPr="00433F89">
              <w:rPr>
                <w:rFonts w:ascii="Times New Roman" w:hAnsi="Times New Roman"/>
                <w:sz w:val="22"/>
                <w:szCs w:val="26"/>
              </w:rPr>
              <w:br/>
              <w:t>«О сроках представления годовой отчетности об исполнении бюджетов государственных внебюджетных фондов Российской Федерации, годовой отчетности об исполнении консолидированных бюджетов субъектов Российской Федерации и бюджетов территориальных государственных внебюджетных фондов, сводной бухгалтерской отчетности бюджетных и автономных учреждений, в отношении которых функции и полномочия учредителя осуществляются органами исполнительной власти субъектов Российской Федерации, органами местного самоуправления, за 2013 год, месячной и квартальной отчетности в 2014 году».</w:t>
            </w:r>
          </w:p>
        </w:tc>
      </w:tr>
    </w:tbl>
    <w:p w:rsidR="00732B10" w:rsidRDefault="00732B10" w:rsidP="00732B10">
      <w:pPr>
        <w:pStyle w:val="ConsPlusNormal"/>
        <w:spacing w:line="360" w:lineRule="auto"/>
        <w:ind w:firstLine="0"/>
        <w:jc w:val="both"/>
        <w:rPr>
          <w:rFonts w:ascii="Times New Roman" w:hAnsi="Times New Roman" w:cs="Times New Roman"/>
          <w:sz w:val="28"/>
          <w:szCs w:val="28"/>
        </w:rPr>
      </w:pPr>
    </w:p>
    <w:p w:rsidR="00732B10" w:rsidRPr="00F30C15" w:rsidRDefault="00732B10" w:rsidP="00732B10">
      <w:pPr>
        <w:spacing w:line="360" w:lineRule="auto"/>
        <w:jc w:val="both"/>
        <w:rPr>
          <w:rFonts w:ascii="Times New Roman" w:hAnsi="Times New Roman"/>
          <w:sz w:val="28"/>
          <w:szCs w:val="28"/>
        </w:rPr>
      </w:pPr>
      <w:r w:rsidRPr="0081177D">
        <w:rPr>
          <w:rFonts w:ascii="Times New Roman" w:hAnsi="Times New Roman"/>
          <w:b/>
          <w:sz w:val="28"/>
          <w:szCs w:val="28"/>
        </w:rPr>
        <w:t>Сравнительная оценка исполнения консолидированного бюджета</w:t>
      </w:r>
      <w:r>
        <w:rPr>
          <w:rFonts w:ascii="Times New Roman" w:hAnsi="Times New Roman"/>
          <w:b/>
          <w:sz w:val="28"/>
          <w:szCs w:val="28"/>
        </w:rPr>
        <w:t xml:space="preserve">. </w:t>
      </w:r>
      <w:r w:rsidRPr="00F30C15">
        <w:rPr>
          <w:rFonts w:ascii="Times New Roman" w:hAnsi="Times New Roman"/>
          <w:sz w:val="28"/>
          <w:szCs w:val="28"/>
        </w:rPr>
        <w:t>По уровню собственных доходов (налоговых и неналоговых доходов) консоли</w:t>
      </w:r>
      <w:r>
        <w:rPr>
          <w:rFonts w:ascii="Times New Roman" w:hAnsi="Times New Roman"/>
          <w:sz w:val="28"/>
          <w:szCs w:val="28"/>
        </w:rPr>
        <w:t>дированных бюджетов на душу населения среди регионов СКФО Чеченская Республика в  отчетном 2013 году сохраняет пятое место.</w:t>
      </w:r>
      <w:r w:rsidRPr="00F30C15">
        <w:rPr>
          <w:rFonts w:ascii="Times New Roman" w:hAnsi="Times New Roman"/>
          <w:sz w:val="28"/>
          <w:szCs w:val="28"/>
        </w:rPr>
        <w:t xml:space="preserve"> </w:t>
      </w:r>
      <w:r w:rsidRPr="00367057">
        <w:rPr>
          <w:rFonts w:ascii="Times New Roman" w:hAnsi="Times New Roman"/>
          <w:sz w:val="28"/>
          <w:szCs w:val="28"/>
        </w:rPr>
        <w:t xml:space="preserve">Объем налоговых и неналоговых поступлений в расчете на душу населения </w:t>
      </w:r>
      <w:r>
        <w:rPr>
          <w:rFonts w:ascii="Times New Roman" w:hAnsi="Times New Roman"/>
          <w:sz w:val="28"/>
          <w:szCs w:val="28"/>
        </w:rPr>
        <w:t xml:space="preserve">в 2013 году </w:t>
      </w:r>
      <w:r w:rsidRPr="00367057">
        <w:rPr>
          <w:rFonts w:ascii="Times New Roman" w:hAnsi="Times New Roman"/>
          <w:sz w:val="28"/>
          <w:szCs w:val="28"/>
        </w:rPr>
        <w:t>составил 9098,3 рублей и по отношению к предыдущему году увеличился на 10,35%</w:t>
      </w:r>
      <w:r>
        <w:rPr>
          <w:rFonts w:ascii="Times New Roman" w:hAnsi="Times New Roman"/>
          <w:sz w:val="28"/>
          <w:szCs w:val="28"/>
        </w:rPr>
        <w:t xml:space="preserve"> (см. слайд № 4)</w:t>
      </w:r>
      <w:r w:rsidRPr="00367057">
        <w:rPr>
          <w:rFonts w:ascii="Times New Roman" w:hAnsi="Times New Roman"/>
          <w:sz w:val="28"/>
          <w:szCs w:val="28"/>
        </w:rPr>
        <w:t xml:space="preserve">. </w:t>
      </w:r>
      <w:r>
        <w:rPr>
          <w:rFonts w:ascii="Times New Roman" w:hAnsi="Times New Roman"/>
          <w:sz w:val="28"/>
          <w:szCs w:val="28"/>
        </w:rPr>
        <w:t xml:space="preserve">   </w:t>
      </w:r>
      <w:r w:rsidRPr="00F30C15">
        <w:rPr>
          <w:rFonts w:ascii="Times New Roman" w:hAnsi="Times New Roman"/>
          <w:sz w:val="28"/>
          <w:szCs w:val="28"/>
        </w:rPr>
        <w:t xml:space="preserve"> </w:t>
      </w:r>
    </w:p>
    <w:p w:rsidR="00732B10" w:rsidRPr="00367057" w:rsidRDefault="00732B10" w:rsidP="00732B10">
      <w:pPr>
        <w:spacing w:line="360" w:lineRule="auto"/>
        <w:ind w:firstLine="709"/>
        <w:jc w:val="right"/>
        <w:rPr>
          <w:rFonts w:ascii="Times New Roman" w:hAnsi="Times New Roman"/>
          <w:sz w:val="28"/>
          <w:szCs w:val="28"/>
        </w:rPr>
      </w:pPr>
      <w:r>
        <w:rPr>
          <w:rFonts w:ascii="Times New Roman" w:hAnsi="Times New Roman"/>
          <w:sz w:val="28"/>
          <w:szCs w:val="28"/>
        </w:rPr>
        <w:t>Слайд № 4.</w:t>
      </w:r>
    </w:p>
    <w:p w:rsidR="00732B10" w:rsidRPr="003249CE" w:rsidRDefault="00732B10" w:rsidP="00732B10">
      <w:pPr>
        <w:spacing w:line="360" w:lineRule="auto"/>
        <w:jc w:val="both"/>
        <w:rPr>
          <w:rFonts w:ascii="Times New Roman" w:hAnsi="Times New Roman"/>
          <w:sz w:val="28"/>
          <w:szCs w:val="28"/>
        </w:rPr>
      </w:pPr>
      <w:r>
        <w:rPr>
          <w:noProof/>
          <w:lang w:eastAsia="ru-RU"/>
        </w:rPr>
        <w:lastRenderedPageBreak/>
        <w:drawing>
          <wp:inline distT="0" distB="0" distL="0" distR="0" wp14:anchorId="41143189" wp14:editId="3EBD2791">
            <wp:extent cx="5940425" cy="4752720"/>
            <wp:effectExtent l="0" t="0" r="3175" b="0"/>
            <wp:docPr id="69" name="Диаграмма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32B10" w:rsidRDefault="00732B10" w:rsidP="00732B10">
      <w:pPr>
        <w:spacing w:after="0" w:line="360" w:lineRule="auto"/>
        <w:jc w:val="both"/>
        <w:rPr>
          <w:rFonts w:ascii="Times New Roman" w:hAnsi="Times New Roman"/>
          <w:sz w:val="20"/>
          <w:szCs w:val="20"/>
        </w:rPr>
      </w:pPr>
      <w:r>
        <w:rPr>
          <w:rFonts w:ascii="Times New Roman" w:hAnsi="Times New Roman"/>
          <w:sz w:val="20"/>
          <w:szCs w:val="20"/>
        </w:rPr>
        <w:t>*) Источник</w:t>
      </w:r>
      <w:r w:rsidRPr="003E5389">
        <w:rPr>
          <w:rFonts w:ascii="Times New Roman" w:hAnsi="Times New Roman"/>
          <w:sz w:val="20"/>
          <w:szCs w:val="20"/>
        </w:rPr>
        <w:t>:</w:t>
      </w:r>
      <w:r>
        <w:rPr>
          <w:rFonts w:ascii="Times New Roman" w:hAnsi="Times New Roman"/>
          <w:sz w:val="20"/>
          <w:szCs w:val="20"/>
        </w:rPr>
        <w:t xml:space="preserve"> </w:t>
      </w:r>
      <w:hyperlink r:id="rId10" w:history="1">
        <w:r w:rsidRPr="00D007AA">
          <w:rPr>
            <w:rStyle w:val="a5"/>
            <w:rFonts w:ascii="Times New Roman" w:hAnsi="Times New Roman"/>
            <w:sz w:val="20"/>
            <w:szCs w:val="20"/>
          </w:rPr>
          <w:t>www.roskazna.ru</w:t>
        </w:r>
      </w:hyperlink>
    </w:p>
    <w:p w:rsidR="00732B10" w:rsidRDefault="00732B10" w:rsidP="00732B10">
      <w:pPr>
        <w:spacing w:line="360" w:lineRule="auto"/>
        <w:jc w:val="both"/>
        <w:rPr>
          <w:rFonts w:ascii="Times New Roman" w:hAnsi="Times New Roman"/>
          <w:sz w:val="28"/>
          <w:szCs w:val="28"/>
        </w:rPr>
      </w:pPr>
      <w:r>
        <w:rPr>
          <w:rFonts w:ascii="Times New Roman" w:hAnsi="Times New Roman"/>
          <w:sz w:val="28"/>
          <w:szCs w:val="28"/>
        </w:rPr>
        <w:t xml:space="preserve">         По уровню расходов консолидированных бюджетов субъектов СКФО в  расчете на душу населения за 2013 год Чеченская Республика уступила лидерство Республике Ингушетия.  </w:t>
      </w:r>
      <w:r w:rsidRPr="00576C0E">
        <w:rPr>
          <w:rFonts w:ascii="Times New Roman" w:hAnsi="Times New Roman"/>
          <w:sz w:val="28"/>
          <w:szCs w:val="28"/>
        </w:rPr>
        <w:t>Расходы бюджета на душу населения составили</w:t>
      </w:r>
      <w:r>
        <w:rPr>
          <w:rFonts w:ascii="Times New Roman" w:hAnsi="Times New Roman"/>
          <w:sz w:val="28"/>
          <w:szCs w:val="28"/>
        </w:rPr>
        <w:t xml:space="preserve"> 48791,5</w:t>
      </w:r>
      <w:r w:rsidRPr="00576C0E">
        <w:rPr>
          <w:rFonts w:ascii="Times New Roman" w:hAnsi="Times New Roman"/>
          <w:sz w:val="28"/>
          <w:szCs w:val="28"/>
        </w:rPr>
        <w:t xml:space="preserve"> рублей, что меньше показателя  предыдущего года на 13,63%</w:t>
      </w:r>
      <w:r>
        <w:rPr>
          <w:rFonts w:ascii="Times New Roman" w:hAnsi="Times New Roman"/>
          <w:sz w:val="28"/>
          <w:szCs w:val="28"/>
        </w:rPr>
        <w:t xml:space="preserve"> (см. слад № 5.)</w:t>
      </w:r>
      <w:r w:rsidRPr="00576C0E">
        <w:rPr>
          <w:rFonts w:ascii="Times New Roman" w:hAnsi="Times New Roman"/>
          <w:sz w:val="28"/>
          <w:szCs w:val="28"/>
        </w:rPr>
        <w:t>. Отрицательная динамика данного показателя объясняется уменьшением объема консолидированного бюджета Чеченской Республики связанная с сокращением выделение бюджетных средств  из федерального бюджета из-за  завершения реализации ФЦП «Социально-экономическое развитие Чеченской Республики на 2008-2012 годы».</w:t>
      </w:r>
    </w:p>
    <w:p w:rsidR="00732B10" w:rsidRPr="00386291" w:rsidRDefault="00732B10" w:rsidP="00732B10">
      <w:pPr>
        <w:tabs>
          <w:tab w:val="left" w:pos="7740"/>
          <w:tab w:val="right" w:pos="9355"/>
        </w:tabs>
        <w:spacing w:line="360" w:lineRule="auto"/>
        <w:ind w:firstLine="709"/>
        <w:rPr>
          <w:rFonts w:ascii="Times New Roman" w:hAnsi="Times New Roman"/>
          <w:b/>
          <w:sz w:val="28"/>
          <w:szCs w:val="28"/>
        </w:rPr>
      </w:pPr>
      <w:r w:rsidRPr="00386291">
        <w:rPr>
          <w:rFonts w:ascii="Times New Roman" w:hAnsi="Times New Roman"/>
          <w:b/>
          <w:sz w:val="28"/>
          <w:szCs w:val="28"/>
        </w:rPr>
        <w:tab/>
      </w:r>
      <w:r w:rsidRPr="00386291">
        <w:rPr>
          <w:rFonts w:ascii="Times New Roman" w:hAnsi="Times New Roman"/>
          <w:b/>
          <w:sz w:val="28"/>
          <w:szCs w:val="28"/>
        </w:rPr>
        <w:tab/>
        <w:t xml:space="preserve">Слайд № </w:t>
      </w:r>
      <w:r>
        <w:rPr>
          <w:rFonts w:ascii="Times New Roman" w:hAnsi="Times New Roman"/>
          <w:b/>
          <w:sz w:val="28"/>
          <w:szCs w:val="28"/>
        </w:rPr>
        <w:t>5</w:t>
      </w:r>
      <w:r w:rsidRPr="00386291">
        <w:rPr>
          <w:rFonts w:ascii="Times New Roman" w:hAnsi="Times New Roman"/>
          <w:b/>
          <w:sz w:val="28"/>
          <w:szCs w:val="28"/>
        </w:rPr>
        <w:t>.</w:t>
      </w:r>
    </w:p>
    <w:p w:rsidR="00732B10" w:rsidRPr="003249CE" w:rsidRDefault="00732B10" w:rsidP="00732B10">
      <w:pPr>
        <w:spacing w:line="360" w:lineRule="auto"/>
        <w:ind w:firstLine="142"/>
        <w:jc w:val="both"/>
        <w:rPr>
          <w:rFonts w:ascii="Times New Roman" w:hAnsi="Times New Roman"/>
          <w:sz w:val="28"/>
          <w:szCs w:val="28"/>
        </w:rPr>
      </w:pPr>
      <w:r>
        <w:rPr>
          <w:noProof/>
          <w:lang w:eastAsia="ru-RU"/>
        </w:rPr>
        <w:lastRenderedPageBreak/>
        <w:drawing>
          <wp:inline distT="0" distB="0" distL="0" distR="0" wp14:anchorId="037C841E" wp14:editId="5AE5172A">
            <wp:extent cx="5772150" cy="4486275"/>
            <wp:effectExtent l="0" t="0" r="0" b="0"/>
            <wp:docPr id="72" name="Диаграмма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32B10" w:rsidRPr="00B01B4D" w:rsidRDefault="00732B10" w:rsidP="00732B10">
      <w:pPr>
        <w:spacing w:after="0" w:line="360" w:lineRule="auto"/>
        <w:jc w:val="both"/>
        <w:rPr>
          <w:rFonts w:ascii="Times New Roman" w:hAnsi="Times New Roman"/>
          <w:sz w:val="20"/>
          <w:szCs w:val="20"/>
        </w:rPr>
      </w:pPr>
      <w:r>
        <w:rPr>
          <w:rFonts w:ascii="Times New Roman" w:hAnsi="Times New Roman"/>
          <w:sz w:val="28"/>
          <w:szCs w:val="28"/>
        </w:rPr>
        <w:t xml:space="preserve">  </w:t>
      </w:r>
      <w:r>
        <w:rPr>
          <w:rFonts w:ascii="Times New Roman" w:hAnsi="Times New Roman"/>
          <w:sz w:val="20"/>
          <w:szCs w:val="20"/>
        </w:rPr>
        <w:t>*) Источник</w:t>
      </w:r>
      <w:r w:rsidRPr="003E5389">
        <w:rPr>
          <w:rFonts w:ascii="Times New Roman" w:hAnsi="Times New Roman"/>
          <w:sz w:val="20"/>
          <w:szCs w:val="20"/>
        </w:rPr>
        <w:t>:</w:t>
      </w:r>
      <w:r>
        <w:rPr>
          <w:rFonts w:ascii="Times New Roman" w:hAnsi="Times New Roman"/>
          <w:sz w:val="20"/>
          <w:szCs w:val="20"/>
        </w:rPr>
        <w:t xml:space="preserve"> </w:t>
      </w:r>
      <w:hyperlink r:id="rId12" w:history="1">
        <w:r w:rsidRPr="00D007AA">
          <w:rPr>
            <w:rStyle w:val="a5"/>
            <w:rFonts w:ascii="Times New Roman" w:hAnsi="Times New Roman"/>
            <w:sz w:val="20"/>
            <w:szCs w:val="20"/>
          </w:rPr>
          <w:t>www.roskazna.ru</w:t>
        </w:r>
      </w:hyperlink>
    </w:p>
    <w:p w:rsidR="00732B10" w:rsidRPr="00B01B4D" w:rsidRDefault="00732B10" w:rsidP="00732B10">
      <w:pPr>
        <w:spacing w:after="0" w:line="360" w:lineRule="auto"/>
        <w:jc w:val="both"/>
        <w:rPr>
          <w:rFonts w:ascii="Times New Roman" w:hAnsi="Times New Roman"/>
          <w:sz w:val="28"/>
          <w:szCs w:val="28"/>
        </w:rPr>
      </w:pPr>
      <w:r>
        <w:rPr>
          <w:rFonts w:ascii="Times New Roman" w:hAnsi="Times New Roman"/>
          <w:sz w:val="28"/>
          <w:szCs w:val="28"/>
        </w:rPr>
        <w:t xml:space="preserve">         Более развернутый сравнительный анализ итогов исполнения консолидированных бюджетов регионов СКФО за 2013 год представлен в раздаточных материалах Коллегии.</w:t>
      </w:r>
    </w:p>
    <w:p w:rsidR="00732B10" w:rsidRPr="00057FDE" w:rsidRDefault="00732B10" w:rsidP="00732B10">
      <w:pPr>
        <w:spacing w:after="0" w:line="360" w:lineRule="auto"/>
        <w:jc w:val="both"/>
        <w:rPr>
          <w:rFonts w:ascii="Times New Roman" w:hAnsi="Times New Roman"/>
          <w:b/>
          <w:sz w:val="28"/>
          <w:szCs w:val="28"/>
        </w:rPr>
      </w:pPr>
      <w:r>
        <w:rPr>
          <w:rFonts w:ascii="Times New Roman" w:hAnsi="Times New Roman"/>
          <w:b/>
          <w:sz w:val="28"/>
          <w:szCs w:val="28"/>
        </w:rPr>
        <w:t xml:space="preserve">Доходы консолидированного бюджета ЧР.  </w:t>
      </w:r>
      <w:r>
        <w:rPr>
          <w:rFonts w:ascii="Times New Roman" w:hAnsi="Times New Roman"/>
          <w:sz w:val="28"/>
          <w:szCs w:val="28"/>
        </w:rPr>
        <w:t xml:space="preserve">Кассовое исполнение консолидированного бюджета Чеченской Республики по доходам за 2013 год составляет 98,5%. Сумма исполнения равна 65 млрд. 736,0 млн. рублей, в том числе по налоговым и неналоговым доходам исполнение составляет 12 млрд. 250,2 млн. рублей, по безвозмездным поступлениям 53 млрд. 485,8 млн. рублей. </w:t>
      </w:r>
    </w:p>
    <w:p w:rsidR="00732B10" w:rsidRDefault="00732B10" w:rsidP="00732B10">
      <w:pPr>
        <w:spacing w:after="0" w:line="360" w:lineRule="auto"/>
        <w:ind w:firstLine="709"/>
        <w:jc w:val="both"/>
        <w:rPr>
          <w:rFonts w:ascii="Times New Roman" w:hAnsi="Times New Roman"/>
          <w:sz w:val="20"/>
          <w:szCs w:val="20"/>
        </w:rPr>
      </w:pPr>
      <w:r>
        <w:rPr>
          <w:rFonts w:ascii="Times New Roman" w:hAnsi="Times New Roman"/>
          <w:sz w:val="28"/>
          <w:szCs w:val="28"/>
        </w:rPr>
        <w:t xml:space="preserve">Среднемесячные поступления по налоговым и неналоговым доходам за отчетный период составили  1 млрд. 020,9 млн. рублей и по сравнению с 2012 годом увеличились на 5,2%. </w:t>
      </w:r>
    </w:p>
    <w:p w:rsidR="00732B10" w:rsidRDefault="00732B10" w:rsidP="00732B10">
      <w:pPr>
        <w:spacing w:after="0" w:line="360" w:lineRule="auto"/>
        <w:jc w:val="both"/>
        <w:rPr>
          <w:rFonts w:ascii="Times New Roman" w:hAnsi="Times New Roman"/>
          <w:sz w:val="28"/>
          <w:szCs w:val="28"/>
        </w:rPr>
      </w:pPr>
    </w:p>
    <w:p w:rsidR="00732B10" w:rsidRDefault="00732B10" w:rsidP="00732B10">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r w:rsidRPr="00713102">
        <w:rPr>
          <w:rFonts w:ascii="Times New Roman" w:hAnsi="Times New Roman"/>
          <w:sz w:val="28"/>
          <w:szCs w:val="28"/>
        </w:rPr>
        <w:t xml:space="preserve">Основной удельный вес в общей сумме налоговых и неналоговых доходов </w:t>
      </w:r>
      <w:r>
        <w:rPr>
          <w:rFonts w:ascii="Times New Roman" w:hAnsi="Times New Roman"/>
          <w:sz w:val="28"/>
          <w:szCs w:val="28"/>
        </w:rPr>
        <w:t xml:space="preserve">консолидированного бюджета Чеченской Республики в 2013 году занимали: </w:t>
      </w:r>
      <w:r w:rsidRPr="00F00EFD">
        <w:rPr>
          <w:rFonts w:ascii="Times New Roman" w:hAnsi="Times New Roman"/>
          <w:sz w:val="28"/>
          <w:szCs w:val="28"/>
        </w:rPr>
        <w:t>налог на</w:t>
      </w:r>
      <w:r>
        <w:rPr>
          <w:rFonts w:ascii="Times New Roman" w:hAnsi="Times New Roman"/>
          <w:sz w:val="28"/>
          <w:szCs w:val="28"/>
        </w:rPr>
        <w:t xml:space="preserve"> доходы физических лиц </w:t>
      </w:r>
      <w:r w:rsidRPr="00F00EFD">
        <w:rPr>
          <w:rFonts w:ascii="Times New Roman" w:hAnsi="Times New Roman"/>
          <w:sz w:val="28"/>
          <w:szCs w:val="28"/>
        </w:rPr>
        <w:t>- 64,6</w:t>
      </w:r>
      <w:r>
        <w:rPr>
          <w:rFonts w:ascii="Times New Roman" w:hAnsi="Times New Roman"/>
          <w:sz w:val="28"/>
          <w:szCs w:val="28"/>
        </w:rPr>
        <w:t xml:space="preserve"> %; </w:t>
      </w:r>
      <w:r w:rsidRPr="00F00EFD">
        <w:rPr>
          <w:rFonts w:ascii="Times New Roman" w:hAnsi="Times New Roman"/>
          <w:sz w:val="28"/>
          <w:szCs w:val="28"/>
        </w:rPr>
        <w:t>налог на</w:t>
      </w:r>
      <w:r>
        <w:rPr>
          <w:rFonts w:ascii="Times New Roman" w:hAnsi="Times New Roman"/>
          <w:sz w:val="28"/>
          <w:szCs w:val="28"/>
        </w:rPr>
        <w:t xml:space="preserve"> товары (работы, услуги), </w:t>
      </w:r>
      <w:r w:rsidRPr="00F00EFD">
        <w:rPr>
          <w:rFonts w:ascii="Times New Roman" w:hAnsi="Times New Roman"/>
          <w:sz w:val="28"/>
          <w:szCs w:val="28"/>
        </w:rPr>
        <w:t>реализуемые на терри</w:t>
      </w:r>
      <w:r>
        <w:rPr>
          <w:rFonts w:ascii="Times New Roman" w:hAnsi="Times New Roman"/>
          <w:sz w:val="28"/>
          <w:szCs w:val="28"/>
        </w:rPr>
        <w:t>тории Российской Федерации</w:t>
      </w:r>
      <w:r>
        <w:rPr>
          <w:rFonts w:ascii="Times New Roman" w:hAnsi="Times New Roman"/>
          <w:sz w:val="28"/>
          <w:szCs w:val="28"/>
        </w:rPr>
        <w:tab/>
      </w:r>
      <w:r w:rsidRPr="00F00EFD">
        <w:rPr>
          <w:rFonts w:ascii="Times New Roman" w:hAnsi="Times New Roman"/>
          <w:sz w:val="28"/>
          <w:szCs w:val="28"/>
        </w:rPr>
        <w:t>- 20,0</w:t>
      </w:r>
      <w:r>
        <w:rPr>
          <w:rFonts w:ascii="Times New Roman" w:hAnsi="Times New Roman"/>
          <w:sz w:val="28"/>
          <w:szCs w:val="28"/>
        </w:rPr>
        <w:t xml:space="preserve"> %; налог на имущество</w:t>
      </w:r>
      <w:r>
        <w:rPr>
          <w:rFonts w:ascii="Times New Roman" w:hAnsi="Times New Roman"/>
          <w:sz w:val="28"/>
          <w:szCs w:val="28"/>
        </w:rPr>
        <w:tab/>
      </w:r>
      <w:r w:rsidRPr="00F00EFD">
        <w:rPr>
          <w:rFonts w:ascii="Times New Roman" w:hAnsi="Times New Roman"/>
          <w:sz w:val="28"/>
          <w:szCs w:val="28"/>
        </w:rPr>
        <w:t>- 7,7</w:t>
      </w:r>
      <w:r>
        <w:rPr>
          <w:rFonts w:ascii="Times New Roman" w:hAnsi="Times New Roman"/>
          <w:sz w:val="28"/>
          <w:szCs w:val="28"/>
        </w:rPr>
        <w:t xml:space="preserve"> %; </w:t>
      </w:r>
      <w:r w:rsidRPr="00F00EFD">
        <w:rPr>
          <w:rFonts w:ascii="Times New Roman" w:hAnsi="Times New Roman"/>
          <w:sz w:val="28"/>
          <w:szCs w:val="28"/>
        </w:rPr>
        <w:t>налог</w:t>
      </w:r>
      <w:r>
        <w:rPr>
          <w:rFonts w:ascii="Times New Roman" w:hAnsi="Times New Roman"/>
          <w:sz w:val="28"/>
          <w:szCs w:val="28"/>
        </w:rPr>
        <w:t xml:space="preserve"> на прибыль организаций </w:t>
      </w:r>
      <w:r w:rsidRPr="00F00EFD">
        <w:rPr>
          <w:rFonts w:ascii="Times New Roman" w:hAnsi="Times New Roman"/>
          <w:sz w:val="28"/>
          <w:szCs w:val="28"/>
        </w:rPr>
        <w:t>- 4,0 %</w:t>
      </w:r>
      <w:r>
        <w:rPr>
          <w:rFonts w:ascii="Times New Roman" w:hAnsi="Times New Roman"/>
          <w:sz w:val="28"/>
          <w:szCs w:val="28"/>
        </w:rPr>
        <w:t xml:space="preserve"> (см. слайд № 6)</w:t>
      </w:r>
      <w:r w:rsidRPr="00F00EFD">
        <w:rPr>
          <w:rFonts w:ascii="Times New Roman" w:hAnsi="Times New Roman"/>
          <w:sz w:val="28"/>
          <w:szCs w:val="28"/>
        </w:rPr>
        <w:t>.</w:t>
      </w:r>
      <w:r>
        <w:rPr>
          <w:rFonts w:ascii="Times New Roman" w:hAnsi="Times New Roman"/>
          <w:sz w:val="28"/>
          <w:szCs w:val="28"/>
        </w:rPr>
        <w:t xml:space="preserve"> </w:t>
      </w:r>
      <w:r w:rsidRPr="00713102">
        <w:rPr>
          <w:rFonts w:ascii="Times New Roman" w:hAnsi="Times New Roman"/>
          <w:sz w:val="28"/>
          <w:szCs w:val="28"/>
        </w:rPr>
        <w:t>На эти налоги приходится 96,3 % всей суммы налоговых и неналоговых поступлений консолидированного бюджета Чеченской Республики, поступивших в 2013</w:t>
      </w:r>
      <w:r>
        <w:rPr>
          <w:rFonts w:ascii="Times New Roman" w:hAnsi="Times New Roman"/>
          <w:sz w:val="28"/>
          <w:szCs w:val="28"/>
        </w:rPr>
        <w:t xml:space="preserve"> году.</w:t>
      </w:r>
    </w:p>
    <w:p w:rsidR="00732B10" w:rsidRPr="00F00EFD" w:rsidRDefault="00732B10" w:rsidP="00732B10">
      <w:pPr>
        <w:spacing w:after="0" w:line="360" w:lineRule="auto"/>
        <w:jc w:val="both"/>
        <w:rPr>
          <w:rFonts w:ascii="Times New Roman" w:hAnsi="Times New Roman"/>
          <w:sz w:val="28"/>
          <w:szCs w:val="28"/>
        </w:rPr>
      </w:pPr>
    </w:p>
    <w:p w:rsidR="00732B10" w:rsidRPr="00B01B4D" w:rsidRDefault="00732B10" w:rsidP="00732B10">
      <w:pPr>
        <w:spacing w:after="0" w:line="360" w:lineRule="auto"/>
        <w:ind w:firstLine="709"/>
        <w:jc w:val="right"/>
        <w:rPr>
          <w:rFonts w:ascii="Times New Roman" w:hAnsi="Times New Roman"/>
          <w:b/>
          <w:sz w:val="28"/>
          <w:szCs w:val="28"/>
        </w:rPr>
      </w:pPr>
      <w:r>
        <w:rPr>
          <w:rFonts w:ascii="Times New Roman" w:hAnsi="Times New Roman"/>
          <w:b/>
          <w:sz w:val="28"/>
          <w:szCs w:val="28"/>
        </w:rPr>
        <w:t>Слайд № 6</w:t>
      </w:r>
    </w:p>
    <w:p w:rsidR="00732B10" w:rsidRDefault="00732B10" w:rsidP="00732B10">
      <w:pPr>
        <w:spacing w:after="0" w:line="360" w:lineRule="auto"/>
        <w:jc w:val="both"/>
        <w:rPr>
          <w:rFonts w:ascii="Times New Roman" w:hAnsi="Times New Roman"/>
          <w:sz w:val="28"/>
          <w:szCs w:val="28"/>
        </w:rPr>
      </w:pPr>
      <w:r>
        <w:rPr>
          <w:noProof/>
          <w:lang w:eastAsia="ru-RU"/>
        </w:rPr>
        <w:drawing>
          <wp:inline distT="0" distB="0" distL="0" distR="0" wp14:anchorId="78763491" wp14:editId="69CB8B52">
            <wp:extent cx="5791200" cy="348615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32B10" w:rsidRDefault="00732B10" w:rsidP="00732B10">
      <w:pPr>
        <w:spacing w:after="0" w:line="360" w:lineRule="auto"/>
        <w:jc w:val="both"/>
        <w:rPr>
          <w:rFonts w:ascii="Times New Roman" w:hAnsi="Times New Roman"/>
          <w:sz w:val="28"/>
          <w:szCs w:val="28"/>
        </w:rPr>
      </w:pPr>
      <w:r w:rsidRPr="009035A8">
        <w:rPr>
          <w:rFonts w:ascii="Times New Roman" w:hAnsi="Times New Roman"/>
          <w:sz w:val="20"/>
          <w:szCs w:val="20"/>
        </w:rPr>
        <w:t>*</w:t>
      </w:r>
      <w:r>
        <w:rPr>
          <w:rFonts w:ascii="Times New Roman" w:hAnsi="Times New Roman"/>
          <w:sz w:val="20"/>
          <w:szCs w:val="20"/>
        </w:rPr>
        <w:t xml:space="preserve">) </w:t>
      </w:r>
      <w:r w:rsidRPr="00F00EFD">
        <w:rPr>
          <w:rFonts w:ascii="Times New Roman" w:hAnsi="Times New Roman"/>
          <w:b/>
          <w:sz w:val="20"/>
          <w:szCs w:val="20"/>
        </w:rPr>
        <w:t>Источник</w:t>
      </w:r>
      <w:r w:rsidRPr="003E5389">
        <w:rPr>
          <w:rFonts w:ascii="Times New Roman" w:hAnsi="Times New Roman"/>
          <w:sz w:val="20"/>
          <w:szCs w:val="20"/>
        </w:rPr>
        <w:t>:</w:t>
      </w:r>
      <w:r w:rsidRPr="009035A8">
        <w:rPr>
          <w:rFonts w:ascii="Times New Roman" w:hAnsi="Times New Roman"/>
          <w:sz w:val="20"/>
          <w:szCs w:val="20"/>
        </w:rPr>
        <w:t xml:space="preserve"> </w:t>
      </w:r>
      <w:r>
        <w:rPr>
          <w:rFonts w:ascii="Times New Roman" w:hAnsi="Times New Roman"/>
          <w:sz w:val="20"/>
          <w:szCs w:val="20"/>
        </w:rPr>
        <w:t>отчетная форма 428 (отчет об исполнении консолидированного бюджета субъекта)</w:t>
      </w:r>
    </w:p>
    <w:p w:rsidR="00732B10" w:rsidRDefault="00732B10" w:rsidP="00732B10">
      <w:pPr>
        <w:spacing w:after="0" w:line="360" w:lineRule="auto"/>
        <w:ind w:firstLine="709"/>
        <w:jc w:val="both"/>
        <w:rPr>
          <w:rFonts w:ascii="Times New Roman" w:hAnsi="Times New Roman"/>
          <w:sz w:val="28"/>
          <w:szCs w:val="28"/>
        </w:rPr>
      </w:pPr>
    </w:p>
    <w:p w:rsidR="00732B10" w:rsidRPr="00F00EFD" w:rsidRDefault="00732B10" w:rsidP="00732B10">
      <w:pPr>
        <w:spacing w:after="0" w:line="360" w:lineRule="auto"/>
        <w:ind w:firstLine="709"/>
        <w:jc w:val="both"/>
        <w:rPr>
          <w:rFonts w:ascii="Times New Roman" w:hAnsi="Times New Roman"/>
          <w:sz w:val="28"/>
          <w:szCs w:val="28"/>
        </w:rPr>
      </w:pPr>
      <w:r w:rsidRPr="001252FB">
        <w:rPr>
          <w:rFonts w:ascii="Times New Roman" w:hAnsi="Times New Roman"/>
          <w:sz w:val="28"/>
          <w:szCs w:val="28"/>
        </w:rPr>
        <w:t xml:space="preserve">По основным </w:t>
      </w:r>
      <w:proofErr w:type="spellStart"/>
      <w:r w:rsidRPr="001252FB">
        <w:rPr>
          <w:rFonts w:ascii="Times New Roman" w:hAnsi="Times New Roman"/>
          <w:sz w:val="28"/>
          <w:szCs w:val="28"/>
        </w:rPr>
        <w:t>бюджетообразующим</w:t>
      </w:r>
      <w:proofErr w:type="spellEnd"/>
      <w:r w:rsidRPr="001252FB">
        <w:rPr>
          <w:rFonts w:ascii="Times New Roman" w:hAnsi="Times New Roman"/>
          <w:sz w:val="28"/>
          <w:szCs w:val="28"/>
        </w:rPr>
        <w:t xml:space="preserve"> доходам консолидированного бюджета годовые назначен</w:t>
      </w:r>
      <w:r>
        <w:rPr>
          <w:rFonts w:ascii="Times New Roman" w:hAnsi="Times New Roman"/>
          <w:sz w:val="28"/>
          <w:szCs w:val="28"/>
        </w:rPr>
        <w:t xml:space="preserve">ия исполнены следующим образом: налог на имущество </w:t>
      </w:r>
      <w:r>
        <w:rPr>
          <w:rFonts w:ascii="Times New Roman" w:hAnsi="Times New Roman"/>
          <w:sz w:val="28"/>
          <w:szCs w:val="28"/>
        </w:rPr>
        <w:tab/>
      </w:r>
      <w:r w:rsidRPr="00F00EFD">
        <w:rPr>
          <w:rFonts w:ascii="Times New Roman" w:hAnsi="Times New Roman"/>
          <w:sz w:val="28"/>
          <w:szCs w:val="28"/>
        </w:rPr>
        <w:t>- 107,5%;</w:t>
      </w:r>
      <w:r>
        <w:rPr>
          <w:rFonts w:ascii="Times New Roman" w:hAnsi="Times New Roman"/>
          <w:sz w:val="28"/>
          <w:szCs w:val="28"/>
        </w:rPr>
        <w:t xml:space="preserve"> </w:t>
      </w:r>
      <w:r w:rsidRPr="00F00EFD">
        <w:rPr>
          <w:rFonts w:ascii="Times New Roman" w:hAnsi="Times New Roman"/>
          <w:sz w:val="28"/>
          <w:szCs w:val="28"/>
        </w:rPr>
        <w:t>налог на доходы физических лиц</w:t>
      </w:r>
      <w:r>
        <w:rPr>
          <w:rFonts w:ascii="Times New Roman" w:hAnsi="Times New Roman"/>
          <w:sz w:val="28"/>
          <w:szCs w:val="28"/>
        </w:rPr>
        <w:t xml:space="preserve"> </w:t>
      </w:r>
      <w:r w:rsidRPr="00F00EFD">
        <w:rPr>
          <w:rFonts w:ascii="Times New Roman" w:hAnsi="Times New Roman"/>
          <w:sz w:val="28"/>
          <w:szCs w:val="28"/>
        </w:rPr>
        <w:t>- 100,9 %;</w:t>
      </w:r>
      <w:r>
        <w:rPr>
          <w:rFonts w:ascii="Times New Roman" w:hAnsi="Times New Roman"/>
          <w:sz w:val="28"/>
          <w:szCs w:val="28"/>
        </w:rPr>
        <w:t xml:space="preserve"> налог на товары (работы, услуги), </w:t>
      </w:r>
      <w:r w:rsidRPr="00F00EFD">
        <w:rPr>
          <w:rFonts w:ascii="Times New Roman" w:hAnsi="Times New Roman"/>
          <w:sz w:val="28"/>
          <w:szCs w:val="28"/>
        </w:rPr>
        <w:t>реализуемые на терри</w:t>
      </w:r>
      <w:r>
        <w:rPr>
          <w:rFonts w:ascii="Times New Roman" w:hAnsi="Times New Roman"/>
          <w:sz w:val="28"/>
          <w:szCs w:val="28"/>
        </w:rPr>
        <w:t xml:space="preserve">тории Российской Федерации </w:t>
      </w:r>
      <w:r w:rsidRPr="00F00EFD">
        <w:rPr>
          <w:rFonts w:ascii="Times New Roman" w:hAnsi="Times New Roman"/>
          <w:sz w:val="28"/>
          <w:szCs w:val="28"/>
        </w:rPr>
        <w:t>- 85,6%;</w:t>
      </w:r>
      <w:r>
        <w:rPr>
          <w:rFonts w:ascii="Times New Roman" w:hAnsi="Times New Roman"/>
          <w:sz w:val="28"/>
          <w:szCs w:val="28"/>
        </w:rPr>
        <w:t xml:space="preserve"> </w:t>
      </w:r>
      <w:r w:rsidRPr="00F00EFD">
        <w:rPr>
          <w:rFonts w:ascii="Times New Roman" w:hAnsi="Times New Roman"/>
          <w:sz w:val="28"/>
          <w:szCs w:val="28"/>
        </w:rPr>
        <w:t>по нало</w:t>
      </w:r>
      <w:r>
        <w:rPr>
          <w:rFonts w:ascii="Times New Roman" w:hAnsi="Times New Roman"/>
          <w:sz w:val="28"/>
          <w:szCs w:val="28"/>
        </w:rPr>
        <w:t xml:space="preserve">гу на прибыль организаций </w:t>
      </w:r>
      <w:r w:rsidRPr="00F00EFD">
        <w:rPr>
          <w:rFonts w:ascii="Times New Roman" w:hAnsi="Times New Roman"/>
          <w:sz w:val="28"/>
          <w:szCs w:val="28"/>
        </w:rPr>
        <w:t>- 57,3%.</w:t>
      </w:r>
    </w:p>
    <w:p w:rsidR="00732B10" w:rsidRPr="004B1097" w:rsidRDefault="00732B10" w:rsidP="00732B10">
      <w:pPr>
        <w:spacing w:after="0" w:line="360" w:lineRule="auto"/>
        <w:ind w:firstLine="709"/>
        <w:jc w:val="both"/>
        <w:rPr>
          <w:rFonts w:ascii="Times New Roman" w:hAnsi="Times New Roman"/>
          <w:sz w:val="28"/>
          <w:szCs w:val="28"/>
        </w:rPr>
      </w:pPr>
      <w:r w:rsidRPr="004B1097">
        <w:rPr>
          <w:rFonts w:ascii="Times New Roman" w:hAnsi="Times New Roman"/>
          <w:sz w:val="28"/>
          <w:szCs w:val="28"/>
        </w:rPr>
        <w:lastRenderedPageBreak/>
        <w:t>Невыполнение бюджетных назначений по налогу на прибыль организаций в размере 42,7 % произошло вследствие того, что от ОАО</w:t>
      </w:r>
      <w:r>
        <w:rPr>
          <w:rFonts w:ascii="Times New Roman" w:hAnsi="Times New Roman"/>
          <w:sz w:val="28"/>
          <w:szCs w:val="28"/>
        </w:rPr>
        <w:t xml:space="preserve"> «НК Роснефть» в результате заключения им договора  об участии в консолидированной группе налогоплательщиков, которое уплачивало налог на прибыль в бюджет Чеченской Республики в соответствии со статьей 288 налогового кодекса Российской Федерации по месту нахождения своего филиала </w:t>
      </w:r>
      <w:r w:rsidRPr="00FE35CF">
        <w:rPr>
          <w:rFonts w:ascii="Times New Roman" w:hAnsi="Times New Roman"/>
          <w:sz w:val="28"/>
          <w:szCs w:val="28"/>
        </w:rPr>
        <w:t>и доходам от уплаты акцизов на нефтепродукты</w:t>
      </w:r>
      <w:r>
        <w:rPr>
          <w:rFonts w:ascii="Times New Roman" w:hAnsi="Times New Roman"/>
          <w:sz w:val="28"/>
          <w:szCs w:val="28"/>
        </w:rPr>
        <w:t xml:space="preserve"> 85,6 % </w:t>
      </w:r>
      <w:proofErr w:type="spellStart"/>
      <w:r>
        <w:rPr>
          <w:rFonts w:ascii="Times New Roman" w:hAnsi="Times New Roman"/>
          <w:sz w:val="28"/>
          <w:szCs w:val="28"/>
        </w:rPr>
        <w:t>недопоступило</w:t>
      </w:r>
      <w:proofErr w:type="spellEnd"/>
      <w:r>
        <w:rPr>
          <w:rFonts w:ascii="Times New Roman" w:hAnsi="Times New Roman"/>
          <w:sz w:val="28"/>
          <w:szCs w:val="28"/>
        </w:rPr>
        <w:t xml:space="preserve"> 412 млн.427,1 тыс. рублей,</w:t>
      </w:r>
      <w:r w:rsidRPr="00FE35CF">
        <w:rPr>
          <w:rFonts w:ascii="Times New Roman" w:hAnsi="Times New Roman"/>
          <w:sz w:val="28"/>
          <w:szCs w:val="28"/>
        </w:rPr>
        <w:t xml:space="preserve"> которые прогнозируются и распределяются по субъектам Российской Федерации на федеральном уровне</w:t>
      </w:r>
      <w:r>
        <w:rPr>
          <w:rFonts w:ascii="Times New Roman" w:hAnsi="Times New Roman"/>
          <w:sz w:val="28"/>
          <w:szCs w:val="28"/>
        </w:rPr>
        <w:t xml:space="preserve"> и зачисляются в дорожный фонд Чеченской Республики</w:t>
      </w:r>
      <w:r w:rsidRPr="004B1097">
        <w:rPr>
          <w:rFonts w:ascii="Times New Roman" w:hAnsi="Times New Roman"/>
          <w:sz w:val="28"/>
          <w:szCs w:val="28"/>
        </w:rPr>
        <w:t>.</w:t>
      </w:r>
    </w:p>
    <w:p w:rsidR="00732B10" w:rsidRDefault="00732B10" w:rsidP="00732B10">
      <w:pPr>
        <w:spacing w:after="0" w:line="360" w:lineRule="auto"/>
        <w:ind w:firstLine="709"/>
        <w:jc w:val="both"/>
        <w:rPr>
          <w:rFonts w:ascii="Times New Roman" w:hAnsi="Times New Roman"/>
          <w:sz w:val="28"/>
          <w:szCs w:val="28"/>
        </w:rPr>
      </w:pPr>
      <w:r>
        <w:rPr>
          <w:rFonts w:ascii="Times New Roman" w:hAnsi="Times New Roman"/>
          <w:sz w:val="28"/>
          <w:szCs w:val="28"/>
        </w:rPr>
        <w:t>Поступление сверх утвержденных бюджетных назначений налога на доходы физических лиц на 0,9 % или 72,7 млн. рублей объясняется в основном увеличением с 2012 года денежного довольствия военнослужащих, проходящих военную службу на территории Чеченской республики и сотрудников Министерства внутренних дел Российской Федерации, а также ростом заработной платы работников бюджетной сферы.</w:t>
      </w:r>
    </w:p>
    <w:p w:rsidR="00732B10" w:rsidRDefault="00732B10" w:rsidP="00732B10">
      <w:pPr>
        <w:spacing w:after="0" w:line="360" w:lineRule="auto"/>
        <w:ind w:firstLine="709"/>
        <w:jc w:val="both"/>
        <w:rPr>
          <w:rFonts w:ascii="Times New Roman" w:hAnsi="Times New Roman"/>
          <w:color w:val="FF0000"/>
          <w:sz w:val="28"/>
          <w:szCs w:val="28"/>
        </w:rPr>
      </w:pPr>
      <w:r>
        <w:rPr>
          <w:rFonts w:ascii="Times New Roman" w:hAnsi="Times New Roman"/>
          <w:sz w:val="28"/>
          <w:szCs w:val="28"/>
        </w:rPr>
        <w:t>По налогам на имущество утвержденные бюджетные назначения  в целом были перевыполнены на 7,5 % или сверх утвержденных бюджетных назначений поступило 65,2 млн. рублей, в том числе по налогу на имущество организаций и физических лиц вследствие активизации работы администратора доходов соответственно перевыполнено на 7,2 % и 15,7% или  на сумму в 52,5 млн. рублей и  2,1 млн. рублей, а также перевыполнение по земельному налогу на 14,4% или на сумму в 14,8 млн. рублей, вследствие проведенной работы по актуализации сведений о количестве и владельцах земельных участков, с одновременным неисполнением бюджетных назначения по транспортному налогу на 13,1 % или сумму в 4,1 млн. рублей.</w:t>
      </w:r>
    </w:p>
    <w:p w:rsidR="00732B10" w:rsidRDefault="00732B10" w:rsidP="00732B10">
      <w:pPr>
        <w:spacing w:line="360" w:lineRule="auto"/>
        <w:ind w:firstLine="709"/>
        <w:jc w:val="both"/>
        <w:rPr>
          <w:rFonts w:ascii="Times New Roman" w:hAnsi="Times New Roman"/>
          <w:sz w:val="28"/>
          <w:szCs w:val="28"/>
        </w:rPr>
      </w:pPr>
      <w:r>
        <w:rPr>
          <w:rFonts w:ascii="Times New Roman" w:hAnsi="Times New Roman"/>
          <w:sz w:val="28"/>
          <w:szCs w:val="28"/>
        </w:rPr>
        <w:t xml:space="preserve">Фактическое поступление в консолидированный бюджет Чеченской Республики безвозмездных поступлений из федерального бюджета, согласно утвержденной отчетности, составило 53 млрд. 485 млн.759,7 тыс. рублей </w:t>
      </w:r>
      <w:r w:rsidRPr="00902BE4">
        <w:rPr>
          <w:rFonts w:ascii="Times New Roman" w:hAnsi="Times New Roman"/>
          <w:sz w:val="28"/>
          <w:szCs w:val="28"/>
        </w:rPr>
        <w:t xml:space="preserve"> или 99,3 % от утвержденных бюджетных назначений. Безвозмездные </w:t>
      </w:r>
      <w:r w:rsidRPr="00902BE4">
        <w:rPr>
          <w:rFonts w:ascii="Times New Roman" w:hAnsi="Times New Roman"/>
          <w:sz w:val="28"/>
          <w:szCs w:val="28"/>
        </w:rPr>
        <w:lastRenderedPageBreak/>
        <w:t>перечисления в течение 2013 года поступали планомерно, что позволило своевременно исполнять принятые бюджетные обязательства.</w:t>
      </w:r>
    </w:p>
    <w:p w:rsidR="00732B10" w:rsidRDefault="00732B10" w:rsidP="00732B10">
      <w:pPr>
        <w:spacing w:after="240" w:line="360" w:lineRule="auto"/>
        <w:ind w:firstLine="709"/>
        <w:contextualSpacing/>
        <w:jc w:val="both"/>
        <w:rPr>
          <w:rFonts w:ascii="Times New Roman" w:hAnsi="Times New Roman"/>
          <w:sz w:val="28"/>
          <w:szCs w:val="28"/>
        </w:rPr>
      </w:pPr>
      <w:r>
        <w:rPr>
          <w:rFonts w:ascii="Times New Roman" w:hAnsi="Times New Roman"/>
          <w:sz w:val="28"/>
          <w:szCs w:val="28"/>
        </w:rPr>
        <w:t xml:space="preserve">Вместе с этим, без учета поступлений, которые зачисляются в дорожный фонд Чеченской Республики, бюджетные назначения республиканского бюджета на 2013 год исполнены на </w:t>
      </w:r>
      <w:r w:rsidRPr="00902BE4">
        <w:rPr>
          <w:rFonts w:ascii="Times New Roman" w:hAnsi="Times New Roman"/>
          <w:sz w:val="28"/>
          <w:szCs w:val="28"/>
        </w:rPr>
        <w:t>98,4 %.</w:t>
      </w:r>
      <w:r>
        <w:rPr>
          <w:rFonts w:ascii="Times New Roman" w:hAnsi="Times New Roman"/>
          <w:sz w:val="28"/>
          <w:szCs w:val="28"/>
        </w:rPr>
        <w:t xml:space="preserve"> Часть выпадающих доходов по налогу на прибыль компенсированы другими доходами, по которым перевыполняются утвержденные бюджетные назначения, в том числе по налогу на доходы физических лиц исполнение 100,9 % (поступление налога сверх утвержденных бюджетных назначений 72 млн.735,4 тыс. рублей) и налогу на имущество организаций,  исполнение -107,2 % (поступление налога сверх утвержденных бюджетных назначений  52 млн. 445,1тыс. рублей), а также за счет поступлений неналоговых доходов, поступления по которым сверх утвержденных бюджетных назначений составили 85млн 494,6 тыс. рублей. </w:t>
      </w:r>
    </w:p>
    <w:p w:rsidR="00732B10" w:rsidRPr="004272B3" w:rsidRDefault="00732B10" w:rsidP="00732B10">
      <w:pPr>
        <w:spacing w:after="240" w:line="360" w:lineRule="auto"/>
        <w:ind w:firstLine="709"/>
        <w:contextualSpacing/>
        <w:jc w:val="both"/>
        <w:rPr>
          <w:rFonts w:ascii="Times New Roman" w:hAnsi="Times New Roman"/>
          <w:sz w:val="28"/>
          <w:szCs w:val="28"/>
        </w:rPr>
      </w:pPr>
      <w:r w:rsidRPr="004272B3">
        <w:rPr>
          <w:rFonts w:ascii="Times New Roman" w:hAnsi="Times New Roman"/>
          <w:sz w:val="28"/>
          <w:szCs w:val="28"/>
        </w:rPr>
        <w:t xml:space="preserve">Динамика поступления налоговых и неналоговых доходов консолидированного бюджета в 2013 году по сравнению с объемом поступлений в 2012 году составила 105,1 %. Вместе с этим, такой незначительный показатель динамики складывается в результате снижения поступлений по налогу на прибыль организаций, и акцизам на нефтепродукты по причинам сказанным выше. Без учета </w:t>
      </w:r>
      <w:proofErr w:type="gramStart"/>
      <w:r w:rsidRPr="004272B3">
        <w:rPr>
          <w:rFonts w:ascii="Times New Roman" w:hAnsi="Times New Roman"/>
          <w:sz w:val="28"/>
          <w:szCs w:val="28"/>
        </w:rPr>
        <w:t>поступлений  по</w:t>
      </w:r>
      <w:proofErr w:type="gramEnd"/>
      <w:r w:rsidRPr="004272B3">
        <w:rPr>
          <w:rFonts w:ascii="Times New Roman" w:hAnsi="Times New Roman"/>
          <w:sz w:val="28"/>
          <w:szCs w:val="28"/>
        </w:rPr>
        <w:t xml:space="preserve"> налогу на прибыль и акцизам на нефтепродукты, динамика поступлений налоговых и неналоговых доходов в 2013 году составила 111,7 %. Такие темпы поступлений в республиканский бюджет в 2013 году по сравнению с 2012 годом обеспечены за счет реализации мероприятий в рамках поручений Главы Чеченской Республики Р.А. Кадырова по увеличению региональных и местных налогов.</w:t>
      </w:r>
    </w:p>
    <w:p w:rsidR="00732B10" w:rsidRPr="004272B3" w:rsidRDefault="00732B10" w:rsidP="00732B10">
      <w:pPr>
        <w:spacing w:line="360" w:lineRule="auto"/>
        <w:ind w:firstLine="708"/>
        <w:jc w:val="both"/>
        <w:rPr>
          <w:rFonts w:ascii="Times New Roman" w:hAnsi="Times New Roman"/>
          <w:sz w:val="28"/>
          <w:szCs w:val="28"/>
        </w:rPr>
      </w:pPr>
      <w:r w:rsidRPr="004272B3">
        <w:rPr>
          <w:rFonts w:ascii="Times New Roman" w:hAnsi="Times New Roman"/>
          <w:sz w:val="28"/>
          <w:szCs w:val="28"/>
        </w:rPr>
        <w:t xml:space="preserve">Данная работа проводится в целях решения проблемы, связанной с </w:t>
      </w:r>
      <w:proofErr w:type="spellStart"/>
      <w:r w:rsidRPr="004272B3">
        <w:rPr>
          <w:rFonts w:ascii="Times New Roman" w:hAnsi="Times New Roman"/>
          <w:sz w:val="28"/>
          <w:szCs w:val="28"/>
        </w:rPr>
        <w:t>высокодотационностью</w:t>
      </w:r>
      <w:proofErr w:type="spellEnd"/>
      <w:r w:rsidRPr="004272B3">
        <w:rPr>
          <w:rFonts w:ascii="Times New Roman" w:hAnsi="Times New Roman"/>
          <w:sz w:val="28"/>
          <w:szCs w:val="28"/>
        </w:rPr>
        <w:t xml:space="preserve"> консолидированного бюджета Чеченской Республики. Доля межбюджетных трансфертов из федерального бюджета (за </w:t>
      </w:r>
      <w:r w:rsidRPr="004272B3">
        <w:rPr>
          <w:rFonts w:ascii="Times New Roman" w:hAnsi="Times New Roman"/>
          <w:sz w:val="28"/>
          <w:szCs w:val="28"/>
        </w:rPr>
        <w:lastRenderedPageBreak/>
        <w:t xml:space="preserve">исключением субвенций) в общей сумме собственных доходов составила в 2011 году  - 86,5 %, в 2012 – 84,6%, в 2013 – 80,6 % и утвержденном на 2014 год бюджете 76,2 %. Мы видим, хотя и небольшие, но положительные тенденции в части снижения зависимости бюджета Чеченской Республики от федерального бюджета. Это стало возможным благодаря работе, проводимой Межведомственной комиссией по актуализации налогооблагаемой базы местных налогов, созданной распоряжением правительства Чеченской Республики от </w:t>
      </w:r>
      <w:r w:rsidRPr="004272B3">
        <w:rPr>
          <w:rFonts w:ascii="Times New Roman" w:hAnsi="Times New Roman"/>
          <w:color w:val="000000"/>
          <w:sz w:val="28"/>
          <w:szCs w:val="28"/>
        </w:rPr>
        <w:t>20 февраля 2012 года № 49-р «Об образовании межведомственной комиссии и утверждении планов мероприятий по актуализации налоговой базы по налогу на землю и имущественным налогам и проведению инвентаризации бесхозного имущества в Чеченской Республике»</w:t>
      </w:r>
      <w:r w:rsidRPr="004272B3">
        <w:rPr>
          <w:rFonts w:ascii="Times New Roman" w:hAnsi="Times New Roman"/>
          <w:sz w:val="28"/>
          <w:szCs w:val="28"/>
        </w:rPr>
        <w:t xml:space="preserve">, задача которой заключается в увеличении налогооблагаемой базы муниципальных образований Чеченской Республики путем актуализации сведений об объектах налогообложения местных налогов и проведения инвентаризации бесхозного имущества. За период работы с января 2013 года по настоящее время в данном направлении проведена значительная работа. Так, число сведений о земельных участках, находящихся в базе налоговых органов Чеченской Республики, являющихся объектами налогообложения, принадлежащих физическим лицам, с января 2013 года по 1 июня 2014 года </w:t>
      </w:r>
      <w:proofErr w:type="gramStart"/>
      <w:r w:rsidRPr="004272B3">
        <w:rPr>
          <w:rFonts w:ascii="Times New Roman" w:hAnsi="Times New Roman"/>
          <w:sz w:val="28"/>
          <w:szCs w:val="28"/>
        </w:rPr>
        <w:t>с  98</w:t>
      </w:r>
      <w:proofErr w:type="gramEnd"/>
      <w:r w:rsidRPr="004272B3">
        <w:rPr>
          <w:rFonts w:ascii="Times New Roman" w:hAnsi="Times New Roman"/>
          <w:sz w:val="28"/>
          <w:szCs w:val="28"/>
        </w:rPr>
        <w:t xml:space="preserve"> 596  увеличилось до 191 348  сведений или на 194,1, а число объектов капитального строительства (это жилые дома, приватизированные квартиры) за тот же период с 83 764 увеличилась до 138 373, или на 165,2 %. В тоже время, поступления по местным налогам в бюджеты муниципальных образований в 2013 году составили всего 133,2 млн. рублей, в том числе по земельному налогу 117,4 млн. рублей. Темп роста поступлений по местным налогам в 2013 году по отношению к 2012 году составил 181,9 %, в том числе по земельному налогу 186,0 %. Для сравнения, аналогичные показатели за указанный период согласно данным федерального казначейства в среднем по Российской Федерации в целом </w:t>
      </w:r>
      <w:proofErr w:type="gramStart"/>
      <w:r w:rsidRPr="004272B3">
        <w:rPr>
          <w:rFonts w:ascii="Times New Roman" w:hAnsi="Times New Roman"/>
          <w:sz w:val="28"/>
          <w:szCs w:val="28"/>
        </w:rPr>
        <w:lastRenderedPageBreak/>
        <w:t>составили  115</w:t>
      </w:r>
      <w:proofErr w:type="gramEnd"/>
      <w:r w:rsidRPr="004272B3">
        <w:rPr>
          <w:rFonts w:ascii="Times New Roman" w:hAnsi="Times New Roman"/>
          <w:sz w:val="28"/>
          <w:szCs w:val="28"/>
        </w:rPr>
        <w:t xml:space="preserve">,1 %, а по земельному налогу 114,7 %. То есть мы видим разницу. </w:t>
      </w:r>
    </w:p>
    <w:p w:rsidR="00732B10" w:rsidRPr="007868D9" w:rsidRDefault="00732B10" w:rsidP="00732B10">
      <w:pPr>
        <w:spacing w:line="360" w:lineRule="auto"/>
        <w:ind w:firstLine="708"/>
        <w:jc w:val="both"/>
        <w:rPr>
          <w:rFonts w:ascii="Times New Roman" w:hAnsi="Times New Roman"/>
          <w:b/>
          <w:sz w:val="28"/>
          <w:szCs w:val="28"/>
        </w:rPr>
      </w:pPr>
      <w:r>
        <w:rPr>
          <w:rFonts w:ascii="Times New Roman" w:hAnsi="Times New Roman"/>
          <w:sz w:val="28"/>
          <w:szCs w:val="28"/>
        </w:rPr>
        <w:t>Вместе с этим, в работе по увеличению собственных доходов бюджетов муниципальных образований Чеченской Республики существует ряд проблем. Так, максимальные размеры земельных участков из земель, находящихся в собственности Чеченской Республики, или муниципальной собственности, предоставляемых в собственность или аренду граждан в зависимости от целевого назначения, не могут превышать:</w:t>
      </w:r>
      <w:r>
        <w:rPr>
          <w:rFonts w:ascii="Times New Roman" w:hAnsi="Times New Roman"/>
          <w:b/>
          <w:sz w:val="28"/>
          <w:szCs w:val="28"/>
        </w:rPr>
        <w:t xml:space="preserve"> </w:t>
      </w:r>
      <w:r w:rsidRPr="007868D9">
        <w:rPr>
          <w:rFonts w:ascii="Times New Roman" w:hAnsi="Times New Roman"/>
          <w:sz w:val="28"/>
          <w:szCs w:val="28"/>
        </w:rPr>
        <w:t>для ведения личного подсобного хозяйства в сельской местности – 0,25 га;</w:t>
      </w:r>
      <w:r>
        <w:rPr>
          <w:rFonts w:ascii="Times New Roman" w:hAnsi="Times New Roman"/>
          <w:b/>
          <w:sz w:val="28"/>
          <w:szCs w:val="28"/>
        </w:rPr>
        <w:t xml:space="preserve"> </w:t>
      </w:r>
      <w:r w:rsidRPr="007868D9">
        <w:rPr>
          <w:rFonts w:ascii="Times New Roman" w:hAnsi="Times New Roman"/>
          <w:sz w:val="28"/>
          <w:szCs w:val="28"/>
        </w:rPr>
        <w:t>для индивидуального жилищного строительства в сельской местности 0,10 га, а в городах и поселках городского типа – 0,06 га.</w:t>
      </w:r>
    </w:p>
    <w:p w:rsidR="00732B10" w:rsidRDefault="00732B10" w:rsidP="00732B10">
      <w:pPr>
        <w:autoSpaceDE w:val="0"/>
        <w:autoSpaceDN w:val="0"/>
        <w:adjustRightInd w:val="0"/>
        <w:spacing w:after="0" w:line="360" w:lineRule="auto"/>
        <w:ind w:firstLine="540"/>
        <w:jc w:val="both"/>
        <w:rPr>
          <w:rFonts w:cs="Calibri"/>
        </w:rPr>
      </w:pPr>
      <w:r>
        <w:rPr>
          <w:rFonts w:ascii="Times New Roman" w:hAnsi="Times New Roman"/>
          <w:sz w:val="28"/>
          <w:szCs w:val="28"/>
        </w:rPr>
        <w:t xml:space="preserve"> В тоже время, земельные участки, выделенные гражданам Чеченской Республики 20-30 лет назад, значительно превышают указанные нормативы, но при государственной регистрации прав на указанные участки граждан заставляют придерживаться установленных нормативов. Остающаяся часть участка, как правило официально остается бесхозным, и не имеет возможности приобрести своего хозяина, так как он со всех сторон огорожен и по сути своей не может быть сформирован как участок под какую – то деятельность. Это приводит, прежде всего, к выводу значительной площади земли в поселениях </w:t>
      </w:r>
      <w:proofErr w:type="gramStart"/>
      <w:r>
        <w:rPr>
          <w:rFonts w:ascii="Times New Roman" w:hAnsi="Times New Roman"/>
          <w:sz w:val="28"/>
          <w:szCs w:val="28"/>
        </w:rPr>
        <w:t>из под</w:t>
      </w:r>
      <w:proofErr w:type="gramEnd"/>
      <w:r>
        <w:rPr>
          <w:rFonts w:ascii="Times New Roman" w:hAnsi="Times New Roman"/>
          <w:sz w:val="28"/>
          <w:szCs w:val="28"/>
        </w:rPr>
        <w:t xml:space="preserve"> налогообложения. В этой связи считаем целесообразным рекомендовать Министерству имущественных и земельных отношений Чеченской Республики подготовить Законопроект, предусматривающий право граждан Чеченской Республики на государственную регистрацию права собственности на фактически используемую площадь земельного участка, выделенную им для ведения личного подсобного хозяйства или  индивидуального жилищного строительства.</w:t>
      </w:r>
    </w:p>
    <w:p w:rsidR="00732B10" w:rsidRDefault="00732B10" w:rsidP="00732B10">
      <w:pPr>
        <w:spacing w:line="360" w:lineRule="auto"/>
        <w:ind w:firstLine="540"/>
        <w:jc w:val="both"/>
        <w:rPr>
          <w:rFonts w:ascii="Times New Roman" w:hAnsi="Times New Roman"/>
          <w:sz w:val="28"/>
          <w:szCs w:val="28"/>
        </w:rPr>
      </w:pPr>
      <w:r>
        <w:rPr>
          <w:rFonts w:ascii="Times New Roman" w:hAnsi="Times New Roman"/>
          <w:sz w:val="28"/>
          <w:szCs w:val="28"/>
        </w:rPr>
        <w:t xml:space="preserve">Наряду с этим в республике ведется работа и по увеличению поступлений в консолидированный бюджет Чеченской Республики </w:t>
      </w:r>
      <w:r>
        <w:rPr>
          <w:rFonts w:ascii="Times New Roman" w:hAnsi="Times New Roman"/>
          <w:sz w:val="28"/>
          <w:szCs w:val="28"/>
        </w:rPr>
        <w:lastRenderedPageBreak/>
        <w:t>региональных налогов. Так, по итогам 2013 года динамика поступлений в республиканский бюджет Чеченской Республики по региональным налогам к аналогичному периоду прошлого года составила 133,4 %, в том числе по налогу на имущество организаций 133,8 %. Согласно отчетам Федерального казначейства об исполнении консолидированных бюджетов субъектов Российской Федерации за 2013 год в среднем по Российской Федерации эти показатели составили 115,1 и 114,7 % соответственно, т.е. очевидно, что показатели темпов роста поступлений в бюджет Чеченской Республики по региональным налогам значительно превышают аналогичные показатели в целом по Российской Федерации.</w:t>
      </w:r>
    </w:p>
    <w:p w:rsidR="00732B10" w:rsidRPr="00EA42AC" w:rsidRDefault="00732B10" w:rsidP="00732B10">
      <w:pPr>
        <w:spacing w:after="240" w:line="360" w:lineRule="auto"/>
        <w:ind w:firstLine="708"/>
        <w:contextualSpacing/>
        <w:jc w:val="both"/>
        <w:rPr>
          <w:rFonts w:ascii="Times New Roman" w:hAnsi="Times New Roman"/>
          <w:sz w:val="28"/>
          <w:szCs w:val="28"/>
        </w:rPr>
      </w:pPr>
      <w:r>
        <w:rPr>
          <w:rFonts w:ascii="Times New Roman" w:hAnsi="Times New Roman"/>
          <w:sz w:val="28"/>
          <w:szCs w:val="28"/>
        </w:rPr>
        <w:t>Также принимаются меры по увеличению поступлений в республиканский бюджет Чеченской Республики и за счет оптимизации налоговых льгот. Так, в 2013 году принят Закон Чеченской Республики «О внесении изменений в Закон Чеченской Республики «О транспортном налоге в Чеченской Республике», вступивший в силу с 1 января 2014 года. От реализации этого Закона планируются дополнительные поступления в бюджет Чеченской Республики в сумме свыше 60,0 млн. рублей, а с 2016 года эти поступления должны составить более 100 млн. рублей. Кроме того, по итогам проведенной работы при формировании местных бюджетов на 2014 год бюджеты 4 муниципальных районов (</w:t>
      </w:r>
      <w:proofErr w:type="spellStart"/>
      <w:r>
        <w:rPr>
          <w:rFonts w:ascii="Times New Roman" w:hAnsi="Times New Roman"/>
          <w:sz w:val="28"/>
          <w:szCs w:val="28"/>
        </w:rPr>
        <w:t>Гудермесский</w:t>
      </w:r>
      <w:proofErr w:type="spellEnd"/>
      <w:r>
        <w:rPr>
          <w:rFonts w:ascii="Times New Roman" w:hAnsi="Times New Roman"/>
          <w:sz w:val="28"/>
          <w:szCs w:val="28"/>
        </w:rPr>
        <w:t xml:space="preserve">, </w:t>
      </w:r>
      <w:proofErr w:type="spellStart"/>
      <w:r>
        <w:rPr>
          <w:rFonts w:ascii="Times New Roman" w:hAnsi="Times New Roman"/>
          <w:sz w:val="28"/>
          <w:szCs w:val="28"/>
        </w:rPr>
        <w:t>Шалинский</w:t>
      </w:r>
      <w:proofErr w:type="spellEnd"/>
      <w:r>
        <w:rPr>
          <w:rFonts w:ascii="Times New Roman" w:hAnsi="Times New Roman"/>
          <w:sz w:val="28"/>
          <w:szCs w:val="28"/>
        </w:rPr>
        <w:t xml:space="preserve">, </w:t>
      </w:r>
      <w:proofErr w:type="spellStart"/>
      <w:r>
        <w:rPr>
          <w:rFonts w:ascii="Times New Roman" w:hAnsi="Times New Roman"/>
          <w:sz w:val="28"/>
          <w:szCs w:val="28"/>
        </w:rPr>
        <w:t>Шатойский</w:t>
      </w:r>
      <w:proofErr w:type="spellEnd"/>
      <w:r>
        <w:rPr>
          <w:rFonts w:ascii="Times New Roman" w:hAnsi="Times New Roman"/>
          <w:sz w:val="28"/>
          <w:szCs w:val="28"/>
        </w:rPr>
        <w:t>, Шелковской) и одного городского округа (</w:t>
      </w:r>
      <w:proofErr w:type="spellStart"/>
      <w:r>
        <w:rPr>
          <w:rFonts w:ascii="Times New Roman" w:hAnsi="Times New Roman"/>
          <w:sz w:val="28"/>
          <w:szCs w:val="28"/>
        </w:rPr>
        <w:t>г.Грозный</w:t>
      </w:r>
      <w:proofErr w:type="spellEnd"/>
      <w:r>
        <w:rPr>
          <w:rFonts w:ascii="Times New Roman" w:hAnsi="Times New Roman"/>
          <w:sz w:val="28"/>
          <w:szCs w:val="28"/>
        </w:rPr>
        <w:t xml:space="preserve">) Чеченской Республики стали </w:t>
      </w:r>
      <w:proofErr w:type="spellStart"/>
      <w:r>
        <w:rPr>
          <w:rFonts w:ascii="Times New Roman" w:hAnsi="Times New Roman"/>
          <w:sz w:val="28"/>
          <w:szCs w:val="28"/>
        </w:rPr>
        <w:t>профицитными</w:t>
      </w:r>
      <w:proofErr w:type="spellEnd"/>
      <w:r>
        <w:rPr>
          <w:rFonts w:ascii="Times New Roman" w:hAnsi="Times New Roman"/>
          <w:sz w:val="28"/>
          <w:szCs w:val="28"/>
        </w:rPr>
        <w:t>. Работа в данном направлении будет продолжена и дальше.</w:t>
      </w:r>
    </w:p>
    <w:p w:rsidR="00732B10" w:rsidRDefault="00732B10" w:rsidP="00732B10">
      <w:pPr>
        <w:spacing w:after="0" w:line="360" w:lineRule="auto"/>
        <w:ind w:firstLine="709"/>
        <w:jc w:val="center"/>
        <w:rPr>
          <w:rFonts w:ascii="Times New Roman" w:hAnsi="Times New Roman"/>
          <w:b/>
          <w:sz w:val="28"/>
          <w:szCs w:val="28"/>
        </w:rPr>
      </w:pPr>
    </w:p>
    <w:p w:rsidR="00732B10" w:rsidRPr="00057FDE" w:rsidRDefault="00732B10" w:rsidP="00732B10">
      <w:pPr>
        <w:spacing w:after="0" w:line="360" w:lineRule="auto"/>
        <w:jc w:val="both"/>
        <w:rPr>
          <w:rFonts w:ascii="Times New Roman" w:hAnsi="Times New Roman"/>
          <w:b/>
          <w:sz w:val="28"/>
          <w:szCs w:val="28"/>
        </w:rPr>
      </w:pPr>
      <w:r w:rsidRPr="003D0EC2">
        <w:rPr>
          <w:rFonts w:ascii="Times New Roman" w:hAnsi="Times New Roman"/>
          <w:b/>
          <w:sz w:val="28"/>
          <w:szCs w:val="28"/>
        </w:rPr>
        <w:t>Расходы консолидированного бюджета</w:t>
      </w:r>
      <w:r>
        <w:rPr>
          <w:rFonts w:ascii="Times New Roman" w:hAnsi="Times New Roman"/>
          <w:b/>
          <w:sz w:val="28"/>
          <w:szCs w:val="28"/>
        </w:rPr>
        <w:t xml:space="preserve">. </w:t>
      </w:r>
      <w:r w:rsidRPr="003D0EC2">
        <w:rPr>
          <w:rFonts w:ascii="Times New Roman" w:hAnsi="Times New Roman"/>
          <w:sz w:val="28"/>
          <w:szCs w:val="28"/>
        </w:rPr>
        <w:t>Консолидированный бюджет Чеченской Республики за 2013 год по расходам исполнен на 96,2 %. Суммарный кассовый расход составляет 65</w:t>
      </w:r>
      <w:r>
        <w:rPr>
          <w:rFonts w:ascii="Times New Roman" w:hAnsi="Times New Roman"/>
          <w:sz w:val="28"/>
          <w:szCs w:val="28"/>
        </w:rPr>
        <w:t xml:space="preserve"> млрд. </w:t>
      </w:r>
      <w:r w:rsidRPr="003D0EC2">
        <w:rPr>
          <w:rFonts w:ascii="Times New Roman" w:hAnsi="Times New Roman"/>
          <w:sz w:val="28"/>
          <w:szCs w:val="28"/>
        </w:rPr>
        <w:t>694,</w:t>
      </w:r>
      <w:r>
        <w:rPr>
          <w:rFonts w:ascii="Times New Roman" w:hAnsi="Times New Roman"/>
          <w:sz w:val="28"/>
          <w:szCs w:val="28"/>
        </w:rPr>
        <w:t xml:space="preserve">7 </w:t>
      </w:r>
      <w:r w:rsidRPr="003D0EC2">
        <w:rPr>
          <w:rFonts w:ascii="Times New Roman" w:hAnsi="Times New Roman"/>
          <w:sz w:val="28"/>
          <w:szCs w:val="28"/>
        </w:rPr>
        <w:t>млн</w:t>
      </w:r>
      <w:r>
        <w:rPr>
          <w:rFonts w:ascii="Times New Roman" w:hAnsi="Times New Roman"/>
          <w:sz w:val="28"/>
          <w:szCs w:val="28"/>
        </w:rPr>
        <w:t xml:space="preserve">. </w:t>
      </w:r>
      <w:r w:rsidRPr="003D0EC2">
        <w:rPr>
          <w:rFonts w:ascii="Times New Roman" w:hAnsi="Times New Roman"/>
          <w:sz w:val="28"/>
          <w:szCs w:val="28"/>
        </w:rPr>
        <w:t>рублей</w:t>
      </w:r>
      <w:r>
        <w:rPr>
          <w:rFonts w:ascii="Times New Roman" w:hAnsi="Times New Roman"/>
          <w:sz w:val="28"/>
          <w:szCs w:val="28"/>
        </w:rPr>
        <w:t xml:space="preserve"> (см.  слайд № 7)</w:t>
      </w:r>
      <w:r w:rsidRPr="003D0EC2">
        <w:rPr>
          <w:rFonts w:ascii="Times New Roman" w:hAnsi="Times New Roman"/>
          <w:sz w:val="28"/>
          <w:szCs w:val="28"/>
        </w:rPr>
        <w:t>. По сравнению с 2012 годом расходы консолидированного бюджета сократились на 3,8%.</w:t>
      </w:r>
    </w:p>
    <w:p w:rsidR="00732B10" w:rsidRPr="00B01B4D" w:rsidRDefault="00732B10" w:rsidP="00732B10">
      <w:pPr>
        <w:spacing w:after="0" w:line="240" w:lineRule="auto"/>
        <w:ind w:firstLine="709"/>
        <w:jc w:val="right"/>
        <w:rPr>
          <w:rFonts w:ascii="Times New Roman" w:hAnsi="Times New Roman"/>
          <w:b/>
          <w:sz w:val="28"/>
          <w:szCs w:val="28"/>
        </w:rPr>
      </w:pPr>
      <w:r>
        <w:rPr>
          <w:rFonts w:ascii="Times New Roman" w:hAnsi="Times New Roman"/>
          <w:b/>
          <w:sz w:val="28"/>
          <w:szCs w:val="28"/>
        </w:rPr>
        <w:lastRenderedPageBreak/>
        <w:t>Слайд № 7</w:t>
      </w:r>
    </w:p>
    <w:p w:rsidR="00732B10" w:rsidRDefault="00732B10" w:rsidP="00732B10">
      <w:pPr>
        <w:spacing w:after="0" w:line="360" w:lineRule="auto"/>
        <w:jc w:val="both"/>
        <w:rPr>
          <w:rFonts w:ascii="Times New Roman" w:hAnsi="Times New Roman"/>
          <w:sz w:val="28"/>
          <w:szCs w:val="28"/>
        </w:rPr>
      </w:pPr>
      <w:r w:rsidRPr="005025F1">
        <w:rPr>
          <w:noProof/>
          <w:lang w:eastAsia="ru-RU"/>
        </w:rPr>
        <w:drawing>
          <wp:inline distT="0" distB="0" distL="0" distR="0" wp14:anchorId="02A81291" wp14:editId="04DCEAD2">
            <wp:extent cx="6027089" cy="2997642"/>
            <wp:effectExtent l="0" t="0" r="0" b="0"/>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32B10" w:rsidRPr="008B53C0" w:rsidRDefault="00732B10" w:rsidP="00732B10">
      <w:pPr>
        <w:spacing w:after="0" w:line="360" w:lineRule="auto"/>
        <w:jc w:val="both"/>
        <w:rPr>
          <w:rFonts w:ascii="Times New Roman" w:hAnsi="Times New Roman"/>
          <w:sz w:val="20"/>
          <w:szCs w:val="20"/>
          <w:u w:val="single"/>
        </w:rPr>
      </w:pPr>
      <w:r w:rsidRPr="009035A8">
        <w:rPr>
          <w:rFonts w:ascii="Times New Roman" w:hAnsi="Times New Roman"/>
          <w:sz w:val="20"/>
          <w:szCs w:val="20"/>
        </w:rPr>
        <w:t>*</w:t>
      </w:r>
      <w:r>
        <w:rPr>
          <w:rFonts w:ascii="Times New Roman" w:hAnsi="Times New Roman"/>
          <w:sz w:val="20"/>
          <w:szCs w:val="20"/>
        </w:rPr>
        <w:t xml:space="preserve">) </w:t>
      </w:r>
      <w:r w:rsidRPr="00CF124D">
        <w:rPr>
          <w:rFonts w:ascii="Times New Roman" w:hAnsi="Times New Roman"/>
          <w:b/>
          <w:sz w:val="20"/>
          <w:szCs w:val="20"/>
        </w:rPr>
        <w:t>Источник</w:t>
      </w:r>
      <w:r w:rsidRPr="003E5389">
        <w:rPr>
          <w:rFonts w:ascii="Times New Roman" w:hAnsi="Times New Roman"/>
          <w:sz w:val="20"/>
          <w:szCs w:val="20"/>
        </w:rPr>
        <w:t>:</w:t>
      </w:r>
      <w:r w:rsidRPr="009035A8">
        <w:rPr>
          <w:rFonts w:ascii="Times New Roman" w:hAnsi="Times New Roman"/>
          <w:sz w:val="20"/>
          <w:szCs w:val="20"/>
        </w:rPr>
        <w:t xml:space="preserve"> </w:t>
      </w:r>
      <w:r>
        <w:rPr>
          <w:rFonts w:ascii="Times New Roman" w:hAnsi="Times New Roman"/>
          <w:sz w:val="20"/>
          <w:szCs w:val="20"/>
        </w:rPr>
        <w:t xml:space="preserve">отчетная форма 428 (отчет об </w:t>
      </w:r>
      <w:r w:rsidRPr="008B53C0">
        <w:rPr>
          <w:rFonts w:ascii="Times New Roman" w:hAnsi="Times New Roman"/>
          <w:sz w:val="20"/>
          <w:szCs w:val="20"/>
          <w:u w:val="single"/>
        </w:rPr>
        <w:t>исполнении консолидированного бюджета субъекта)</w:t>
      </w:r>
    </w:p>
    <w:p w:rsidR="00732B10" w:rsidRDefault="00732B10" w:rsidP="00732B10">
      <w:pPr>
        <w:spacing w:after="0" w:line="360" w:lineRule="auto"/>
        <w:ind w:firstLine="709"/>
        <w:jc w:val="both"/>
        <w:rPr>
          <w:rFonts w:ascii="Times New Roman" w:hAnsi="Times New Roman"/>
          <w:sz w:val="28"/>
          <w:szCs w:val="28"/>
          <w:u w:val="single"/>
        </w:rPr>
      </w:pPr>
    </w:p>
    <w:p w:rsidR="00732B10" w:rsidRDefault="00732B10" w:rsidP="00732B10">
      <w:pPr>
        <w:spacing w:after="0" w:line="360" w:lineRule="auto"/>
        <w:ind w:firstLine="709"/>
        <w:jc w:val="both"/>
        <w:rPr>
          <w:rFonts w:ascii="Times New Roman" w:hAnsi="Times New Roman"/>
          <w:sz w:val="28"/>
          <w:szCs w:val="28"/>
        </w:rPr>
      </w:pPr>
      <w:r w:rsidRPr="00386291">
        <w:rPr>
          <w:rFonts w:ascii="Times New Roman" w:hAnsi="Times New Roman"/>
          <w:sz w:val="28"/>
          <w:szCs w:val="28"/>
        </w:rPr>
        <w:t>Бюджет 2013 года по функциональной структуре является социально ориентированным</w:t>
      </w:r>
      <w:r>
        <w:rPr>
          <w:rFonts w:ascii="Times New Roman" w:hAnsi="Times New Roman"/>
          <w:sz w:val="28"/>
          <w:szCs w:val="28"/>
        </w:rPr>
        <w:t xml:space="preserve"> (См. слайд № 8)</w:t>
      </w:r>
      <w:r w:rsidRPr="00386291">
        <w:rPr>
          <w:rFonts w:ascii="Times New Roman" w:hAnsi="Times New Roman"/>
          <w:sz w:val="28"/>
          <w:szCs w:val="28"/>
        </w:rPr>
        <w:t>. Так</w:t>
      </w:r>
      <w:r>
        <w:rPr>
          <w:rFonts w:ascii="Times New Roman" w:hAnsi="Times New Roman"/>
          <w:sz w:val="28"/>
          <w:szCs w:val="28"/>
        </w:rPr>
        <w:t>,</w:t>
      </w:r>
      <w:r w:rsidRPr="00386291">
        <w:rPr>
          <w:rFonts w:ascii="Times New Roman" w:hAnsi="Times New Roman"/>
          <w:sz w:val="28"/>
          <w:szCs w:val="28"/>
        </w:rPr>
        <w:t xml:space="preserve"> на социальные</w:t>
      </w:r>
      <w:r w:rsidRPr="005025F1">
        <w:rPr>
          <w:rFonts w:ascii="Times New Roman" w:hAnsi="Times New Roman"/>
          <w:sz w:val="28"/>
          <w:szCs w:val="28"/>
        </w:rPr>
        <w:t xml:space="preserve"> мероприятия приходится 64,3</w:t>
      </w:r>
      <w:r>
        <w:rPr>
          <w:rFonts w:ascii="Times New Roman" w:hAnsi="Times New Roman"/>
          <w:sz w:val="28"/>
          <w:szCs w:val="28"/>
        </w:rPr>
        <w:t xml:space="preserve">% от общих расходов, в том числе на: образование </w:t>
      </w:r>
      <w:r>
        <w:rPr>
          <w:rFonts w:ascii="Times New Roman" w:hAnsi="Times New Roman"/>
          <w:sz w:val="28"/>
          <w:szCs w:val="28"/>
        </w:rPr>
        <w:tab/>
        <w:t xml:space="preserve">–33,1%; культуру, кинематографию </w:t>
      </w:r>
      <w:r w:rsidRPr="005025F1">
        <w:rPr>
          <w:rFonts w:ascii="Times New Roman" w:hAnsi="Times New Roman"/>
          <w:sz w:val="28"/>
          <w:szCs w:val="28"/>
        </w:rPr>
        <w:t>– 1</w:t>
      </w:r>
      <w:r>
        <w:rPr>
          <w:rFonts w:ascii="Times New Roman" w:hAnsi="Times New Roman"/>
          <w:sz w:val="28"/>
          <w:szCs w:val="28"/>
        </w:rPr>
        <w:t xml:space="preserve">,7%; </w:t>
      </w:r>
      <w:r>
        <w:rPr>
          <w:rFonts w:ascii="Times New Roman" w:hAnsi="Times New Roman"/>
          <w:color w:val="FF0000"/>
          <w:sz w:val="28"/>
          <w:szCs w:val="28"/>
        </w:rPr>
        <w:t xml:space="preserve"> </w:t>
      </w:r>
      <w:r>
        <w:rPr>
          <w:rFonts w:ascii="Times New Roman" w:hAnsi="Times New Roman"/>
          <w:sz w:val="28"/>
          <w:szCs w:val="28"/>
        </w:rPr>
        <w:t xml:space="preserve">здравоохранение </w:t>
      </w:r>
      <w:r w:rsidRPr="00B95FFF">
        <w:rPr>
          <w:rFonts w:ascii="Times New Roman" w:hAnsi="Times New Roman"/>
          <w:sz w:val="28"/>
          <w:szCs w:val="28"/>
        </w:rPr>
        <w:t>– 12,4%;</w:t>
      </w:r>
      <w:r>
        <w:rPr>
          <w:rFonts w:ascii="Times New Roman" w:hAnsi="Times New Roman"/>
          <w:sz w:val="28"/>
          <w:szCs w:val="28"/>
        </w:rPr>
        <w:t xml:space="preserve"> социальную политику – 14,5%; физическую культуру и спорт – 2,6%. </w:t>
      </w:r>
    </w:p>
    <w:p w:rsidR="00732B10" w:rsidRPr="00F9014F" w:rsidRDefault="00732B10" w:rsidP="00732B10">
      <w:pPr>
        <w:spacing w:after="0" w:line="360" w:lineRule="auto"/>
        <w:ind w:firstLine="709"/>
        <w:jc w:val="right"/>
        <w:rPr>
          <w:rFonts w:ascii="Times New Roman" w:hAnsi="Times New Roman"/>
          <w:b/>
          <w:sz w:val="28"/>
          <w:szCs w:val="28"/>
        </w:rPr>
      </w:pPr>
      <w:r w:rsidRPr="00F9014F">
        <w:rPr>
          <w:rFonts w:ascii="Times New Roman" w:hAnsi="Times New Roman"/>
          <w:b/>
          <w:sz w:val="28"/>
          <w:szCs w:val="28"/>
        </w:rPr>
        <w:t>Слайд</w:t>
      </w:r>
      <w:r>
        <w:rPr>
          <w:rFonts w:ascii="Times New Roman" w:hAnsi="Times New Roman"/>
          <w:b/>
          <w:sz w:val="28"/>
          <w:szCs w:val="28"/>
        </w:rPr>
        <w:t xml:space="preserve"> № 8</w:t>
      </w:r>
    </w:p>
    <w:p w:rsidR="00732B10" w:rsidRDefault="00732B10" w:rsidP="00732B10">
      <w:pPr>
        <w:spacing w:after="0" w:line="360" w:lineRule="auto"/>
        <w:jc w:val="both"/>
        <w:rPr>
          <w:rFonts w:ascii="Times New Roman" w:hAnsi="Times New Roman"/>
          <w:sz w:val="28"/>
          <w:szCs w:val="28"/>
        </w:rPr>
      </w:pPr>
      <w:r w:rsidRPr="007B5FD1">
        <w:rPr>
          <w:rFonts w:ascii="Times New Roman" w:hAnsi="Times New Roman"/>
          <w:noProof/>
          <w:lang w:eastAsia="ru-RU"/>
        </w:rPr>
        <w:drawing>
          <wp:inline distT="0" distB="0" distL="0" distR="0" wp14:anchorId="012E659C" wp14:editId="6BFCBB1B">
            <wp:extent cx="5915025" cy="3419475"/>
            <wp:effectExtent l="0" t="0" r="0" b="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32B10" w:rsidRDefault="00732B10" w:rsidP="00732B10">
      <w:pPr>
        <w:spacing w:after="0" w:line="360" w:lineRule="auto"/>
        <w:jc w:val="both"/>
        <w:rPr>
          <w:rFonts w:ascii="Times New Roman" w:hAnsi="Times New Roman"/>
          <w:sz w:val="28"/>
          <w:szCs w:val="28"/>
        </w:rPr>
      </w:pPr>
      <w:r w:rsidRPr="009035A8">
        <w:rPr>
          <w:rFonts w:ascii="Times New Roman" w:hAnsi="Times New Roman"/>
          <w:sz w:val="20"/>
          <w:szCs w:val="20"/>
        </w:rPr>
        <w:lastRenderedPageBreak/>
        <w:t>*</w:t>
      </w:r>
      <w:r>
        <w:rPr>
          <w:rFonts w:ascii="Times New Roman" w:hAnsi="Times New Roman"/>
          <w:sz w:val="20"/>
          <w:szCs w:val="20"/>
        </w:rPr>
        <w:t xml:space="preserve">) </w:t>
      </w:r>
      <w:r w:rsidRPr="00A95D4D">
        <w:rPr>
          <w:rFonts w:ascii="Times New Roman" w:hAnsi="Times New Roman"/>
          <w:b/>
          <w:sz w:val="20"/>
          <w:szCs w:val="20"/>
        </w:rPr>
        <w:t>Источник</w:t>
      </w:r>
      <w:r w:rsidRPr="003E5389">
        <w:rPr>
          <w:rFonts w:ascii="Times New Roman" w:hAnsi="Times New Roman"/>
          <w:sz w:val="20"/>
          <w:szCs w:val="20"/>
        </w:rPr>
        <w:t>:</w:t>
      </w:r>
      <w:r w:rsidRPr="009035A8">
        <w:rPr>
          <w:rFonts w:ascii="Times New Roman" w:hAnsi="Times New Roman"/>
          <w:sz w:val="20"/>
          <w:szCs w:val="20"/>
        </w:rPr>
        <w:t xml:space="preserve"> </w:t>
      </w:r>
      <w:r>
        <w:rPr>
          <w:rFonts w:ascii="Times New Roman" w:hAnsi="Times New Roman"/>
          <w:sz w:val="20"/>
          <w:szCs w:val="20"/>
        </w:rPr>
        <w:t>отчетная форма 428 (отчет об исполнении консолидированного бюджета субъекта)</w:t>
      </w:r>
    </w:p>
    <w:p w:rsidR="00732B10" w:rsidRDefault="00732B10" w:rsidP="00732B10">
      <w:pPr>
        <w:spacing w:after="0" w:line="360" w:lineRule="auto"/>
        <w:ind w:firstLine="709"/>
        <w:jc w:val="both"/>
        <w:rPr>
          <w:rFonts w:ascii="Times New Roman" w:hAnsi="Times New Roman"/>
          <w:sz w:val="28"/>
          <w:szCs w:val="28"/>
        </w:rPr>
      </w:pPr>
      <w:r w:rsidRPr="005025F1">
        <w:rPr>
          <w:rFonts w:ascii="Times New Roman" w:hAnsi="Times New Roman"/>
          <w:sz w:val="28"/>
          <w:szCs w:val="28"/>
        </w:rPr>
        <w:t>На общеэкономические вопросы в бюджете приходится 18,9% от общей суммы кас</w:t>
      </w:r>
      <w:r>
        <w:rPr>
          <w:rFonts w:ascii="Times New Roman" w:hAnsi="Times New Roman"/>
          <w:sz w:val="28"/>
          <w:szCs w:val="28"/>
        </w:rPr>
        <w:t xml:space="preserve">сового расхода, в том числе на: </w:t>
      </w:r>
      <w:r w:rsidRPr="005025F1">
        <w:rPr>
          <w:rFonts w:ascii="Times New Roman" w:hAnsi="Times New Roman"/>
          <w:sz w:val="28"/>
          <w:szCs w:val="28"/>
        </w:rPr>
        <w:t>национальную экономик</w:t>
      </w:r>
      <w:r>
        <w:rPr>
          <w:rFonts w:ascii="Times New Roman" w:hAnsi="Times New Roman"/>
          <w:sz w:val="28"/>
          <w:szCs w:val="28"/>
        </w:rPr>
        <w:t xml:space="preserve">у –16,3%; </w:t>
      </w:r>
      <w:r w:rsidRPr="005025F1">
        <w:rPr>
          <w:rFonts w:ascii="Times New Roman" w:hAnsi="Times New Roman"/>
          <w:sz w:val="28"/>
          <w:szCs w:val="28"/>
        </w:rPr>
        <w:t>жилищно</w:t>
      </w:r>
      <w:r>
        <w:rPr>
          <w:rFonts w:ascii="Times New Roman" w:hAnsi="Times New Roman"/>
          <w:sz w:val="28"/>
          <w:szCs w:val="28"/>
        </w:rPr>
        <w:t xml:space="preserve">-коммунальное хозяйство – 2,4%; охрану окружающей среды – </w:t>
      </w:r>
      <w:r w:rsidRPr="005025F1">
        <w:rPr>
          <w:rFonts w:ascii="Times New Roman" w:hAnsi="Times New Roman"/>
          <w:sz w:val="28"/>
          <w:szCs w:val="28"/>
        </w:rPr>
        <w:t>0,2%.</w:t>
      </w:r>
      <w:r>
        <w:rPr>
          <w:rFonts w:ascii="Times New Roman" w:hAnsi="Times New Roman"/>
          <w:sz w:val="28"/>
          <w:szCs w:val="28"/>
        </w:rPr>
        <w:t xml:space="preserve"> </w:t>
      </w:r>
    </w:p>
    <w:p w:rsidR="00732B10" w:rsidRDefault="00732B10" w:rsidP="00732B10">
      <w:pPr>
        <w:spacing w:after="0" w:line="360" w:lineRule="auto"/>
        <w:ind w:firstLine="709"/>
        <w:jc w:val="both"/>
        <w:rPr>
          <w:rFonts w:ascii="Times New Roman" w:hAnsi="Times New Roman"/>
          <w:sz w:val="28"/>
          <w:szCs w:val="28"/>
        </w:rPr>
      </w:pPr>
      <w:r w:rsidRPr="005025F1">
        <w:rPr>
          <w:rFonts w:ascii="Times New Roman" w:hAnsi="Times New Roman"/>
          <w:sz w:val="28"/>
          <w:szCs w:val="28"/>
        </w:rPr>
        <w:t>Организация вопросов общегосударственного характера занимает в расходах консолиди</w:t>
      </w:r>
      <w:r>
        <w:rPr>
          <w:rFonts w:ascii="Times New Roman" w:hAnsi="Times New Roman"/>
          <w:sz w:val="28"/>
          <w:szCs w:val="28"/>
        </w:rPr>
        <w:t xml:space="preserve">рованного бюджета 7,9%, из них: </w:t>
      </w:r>
      <w:r w:rsidRPr="005025F1">
        <w:rPr>
          <w:rFonts w:ascii="Times New Roman" w:hAnsi="Times New Roman"/>
          <w:sz w:val="28"/>
          <w:szCs w:val="28"/>
        </w:rPr>
        <w:t>общег</w:t>
      </w:r>
      <w:r>
        <w:rPr>
          <w:rFonts w:ascii="Times New Roman" w:hAnsi="Times New Roman"/>
          <w:sz w:val="28"/>
          <w:szCs w:val="28"/>
        </w:rPr>
        <w:t xml:space="preserve">осударственные вопросы –5,8%; </w:t>
      </w:r>
      <w:r w:rsidRPr="005025F1">
        <w:rPr>
          <w:rFonts w:ascii="Times New Roman" w:hAnsi="Times New Roman"/>
          <w:sz w:val="28"/>
          <w:szCs w:val="28"/>
        </w:rPr>
        <w:t>национальная</w:t>
      </w:r>
      <w:r>
        <w:rPr>
          <w:rFonts w:ascii="Times New Roman" w:hAnsi="Times New Roman"/>
          <w:sz w:val="28"/>
          <w:szCs w:val="28"/>
        </w:rPr>
        <w:t xml:space="preserve"> оборона –0,1%; национальная безопасность и </w:t>
      </w:r>
      <w:r w:rsidRPr="005025F1">
        <w:rPr>
          <w:rFonts w:ascii="Times New Roman" w:hAnsi="Times New Roman"/>
          <w:sz w:val="28"/>
          <w:szCs w:val="28"/>
        </w:rPr>
        <w:t>правоохран</w:t>
      </w:r>
      <w:r>
        <w:rPr>
          <w:rFonts w:ascii="Times New Roman" w:hAnsi="Times New Roman"/>
          <w:sz w:val="28"/>
          <w:szCs w:val="28"/>
        </w:rPr>
        <w:t>ительная деятельность – 0,4%;</w:t>
      </w:r>
      <w:r>
        <w:rPr>
          <w:rFonts w:ascii="Times New Roman" w:hAnsi="Times New Roman"/>
          <w:sz w:val="28"/>
          <w:szCs w:val="28"/>
        </w:rPr>
        <w:tab/>
      </w:r>
      <w:r w:rsidRPr="005025F1">
        <w:rPr>
          <w:rFonts w:ascii="Times New Roman" w:hAnsi="Times New Roman"/>
          <w:sz w:val="28"/>
          <w:szCs w:val="28"/>
        </w:rPr>
        <w:t>средст</w:t>
      </w:r>
      <w:r>
        <w:rPr>
          <w:rFonts w:ascii="Times New Roman" w:hAnsi="Times New Roman"/>
          <w:sz w:val="28"/>
          <w:szCs w:val="28"/>
        </w:rPr>
        <w:t xml:space="preserve">ва массовой информации –1,4%; </w:t>
      </w:r>
      <w:r w:rsidRPr="005025F1">
        <w:rPr>
          <w:rFonts w:ascii="Times New Roman" w:hAnsi="Times New Roman"/>
          <w:sz w:val="28"/>
          <w:szCs w:val="28"/>
        </w:rPr>
        <w:t>о</w:t>
      </w:r>
      <w:r>
        <w:rPr>
          <w:rFonts w:ascii="Times New Roman" w:hAnsi="Times New Roman"/>
          <w:sz w:val="28"/>
          <w:szCs w:val="28"/>
        </w:rPr>
        <w:t>бслуживание государственного и  муниципального долга</w:t>
      </w:r>
      <w:r>
        <w:rPr>
          <w:rFonts w:ascii="Times New Roman" w:hAnsi="Times New Roman"/>
          <w:sz w:val="28"/>
          <w:szCs w:val="28"/>
        </w:rPr>
        <w:tab/>
      </w:r>
      <w:r w:rsidRPr="005025F1">
        <w:rPr>
          <w:rFonts w:ascii="Times New Roman" w:hAnsi="Times New Roman"/>
          <w:sz w:val="28"/>
          <w:szCs w:val="28"/>
        </w:rPr>
        <w:t>– 0,2%.</w:t>
      </w:r>
    </w:p>
    <w:p w:rsidR="00732B10" w:rsidRDefault="00732B10" w:rsidP="00732B10">
      <w:pPr>
        <w:spacing w:after="0" w:line="360" w:lineRule="auto"/>
        <w:jc w:val="both"/>
        <w:rPr>
          <w:rFonts w:ascii="Times New Roman" w:hAnsi="Times New Roman"/>
          <w:sz w:val="28"/>
          <w:szCs w:val="28"/>
        </w:rPr>
      </w:pPr>
      <w:r>
        <w:rPr>
          <w:rFonts w:ascii="Times New Roman" w:hAnsi="Times New Roman"/>
          <w:sz w:val="28"/>
          <w:szCs w:val="28"/>
        </w:rPr>
        <w:t xml:space="preserve">       По функциональной структуре расходов консолидированного бюджета за 2013 год произошли некоторые изменения, относительно структуры предыдущего 2012 года, наиболее существенные из них выглядят следующим образом. Раздел 07 «Образование» увеличился на 7,6 %, что связано, в частности, с реализацией целевых мероприятий по модернизации образования. Раздел 05 «Жилищно-коммунальное хозяйство» уменьшился на 8,2 %, что обусловлено сокращением программных бюджетных инвестиций в отрасль. Расходы раздела 01 «Общегосударственные вопросы» также имели отрицательную динамику равную 4,5 %. </w:t>
      </w:r>
    </w:p>
    <w:p w:rsidR="00732B10" w:rsidRDefault="00732B10" w:rsidP="00732B10">
      <w:pPr>
        <w:spacing w:after="0" w:line="360" w:lineRule="auto"/>
        <w:ind w:firstLine="709"/>
        <w:jc w:val="both"/>
        <w:rPr>
          <w:rFonts w:ascii="Times New Roman" w:hAnsi="Times New Roman"/>
          <w:sz w:val="28"/>
          <w:szCs w:val="28"/>
        </w:rPr>
      </w:pPr>
      <w:r>
        <w:rPr>
          <w:rFonts w:ascii="Times New Roman" w:hAnsi="Times New Roman"/>
          <w:sz w:val="28"/>
          <w:szCs w:val="28"/>
        </w:rPr>
        <w:t>Все изменения в структуре бюджета по функциональной принадлежности были обеспеченны без сокращения финансирования первостепенных вопросов отрасли и были обусловлены объективными процессами, протекающими в отдельных направлениях бюджетного сектора республики.</w:t>
      </w:r>
    </w:p>
    <w:p w:rsidR="00732B10" w:rsidRDefault="00732B10" w:rsidP="00732B10">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разрезе классификации расходов по операциям сектора государственного управления, наибольшие расходы по удельному весу сложились следующим образом: безвозмездные и безвозвратные  перечисления организациям – 37,9 %; </w:t>
      </w:r>
      <w:r w:rsidRPr="003345AE">
        <w:rPr>
          <w:rFonts w:ascii="Times New Roman" w:hAnsi="Times New Roman"/>
          <w:sz w:val="28"/>
          <w:szCs w:val="28"/>
        </w:rPr>
        <w:t xml:space="preserve">социальное </w:t>
      </w:r>
      <w:r>
        <w:rPr>
          <w:rFonts w:ascii="Times New Roman" w:hAnsi="Times New Roman"/>
          <w:sz w:val="28"/>
          <w:szCs w:val="28"/>
        </w:rPr>
        <w:t xml:space="preserve">обеспечение – 17,6 %; </w:t>
      </w:r>
      <w:r w:rsidRPr="003345AE">
        <w:rPr>
          <w:rFonts w:ascii="Times New Roman" w:hAnsi="Times New Roman"/>
          <w:sz w:val="28"/>
          <w:szCs w:val="28"/>
        </w:rPr>
        <w:lastRenderedPageBreak/>
        <w:t xml:space="preserve">приобретение </w:t>
      </w:r>
      <w:r>
        <w:rPr>
          <w:rFonts w:ascii="Times New Roman" w:hAnsi="Times New Roman"/>
          <w:sz w:val="28"/>
          <w:szCs w:val="28"/>
        </w:rPr>
        <w:t>услуг – 17,5 %;  поступление нефинансовых активов – 15,9 % (см. слайд № 9).</w:t>
      </w:r>
    </w:p>
    <w:p w:rsidR="00732B10" w:rsidRPr="00F9014F" w:rsidRDefault="00732B10" w:rsidP="00732B10">
      <w:pPr>
        <w:spacing w:after="0" w:line="360" w:lineRule="auto"/>
        <w:ind w:firstLine="567"/>
        <w:jc w:val="right"/>
        <w:rPr>
          <w:rFonts w:ascii="Times New Roman" w:hAnsi="Times New Roman"/>
          <w:b/>
          <w:sz w:val="28"/>
          <w:szCs w:val="28"/>
        </w:rPr>
      </w:pPr>
      <w:r w:rsidRPr="00F9014F">
        <w:rPr>
          <w:rFonts w:ascii="Times New Roman" w:hAnsi="Times New Roman"/>
          <w:b/>
          <w:sz w:val="28"/>
          <w:szCs w:val="28"/>
        </w:rPr>
        <w:t xml:space="preserve">Слайд  № </w:t>
      </w:r>
      <w:r>
        <w:rPr>
          <w:rFonts w:ascii="Times New Roman" w:hAnsi="Times New Roman"/>
          <w:b/>
          <w:sz w:val="28"/>
          <w:szCs w:val="28"/>
        </w:rPr>
        <w:t>9</w:t>
      </w:r>
    </w:p>
    <w:p w:rsidR="00732B10" w:rsidRDefault="00732B10" w:rsidP="00732B10">
      <w:pPr>
        <w:spacing w:after="0" w:line="360" w:lineRule="auto"/>
        <w:jc w:val="both"/>
        <w:rPr>
          <w:rFonts w:ascii="Times New Roman" w:hAnsi="Times New Roman"/>
          <w:sz w:val="28"/>
          <w:szCs w:val="28"/>
        </w:rPr>
      </w:pPr>
      <w:r w:rsidRPr="007B5FD1">
        <w:rPr>
          <w:rFonts w:ascii="Times New Roman" w:hAnsi="Times New Roman"/>
          <w:noProof/>
          <w:lang w:eastAsia="ru-RU"/>
        </w:rPr>
        <w:drawing>
          <wp:inline distT="0" distB="0" distL="0" distR="0" wp14:anchorId="31BCFE0E" wp14:editId="3A6B225F">
            <wp:extent cx="5947576" cy="3371353"/>
            <wp:effectExtent l="0" t="0" r="0" b="635"/>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32B10" w:rsidRDefault="00732B10" w:rsidP="00732B10">
      <w:pPr>
        <w:spacing w:after="0" w:line="360" w:lineRule="auto"/>
        <w:jc w:val="both"/>
        <w:rPr>
          <w:rFonts w:ascii="Times New Roman" w:hAnsi="Times New Roman"/>
          <w:sz w:val="28"/>
          <w:szCs w:val="28"/>
        </w:rPr>
      </w:pPr>
      <w:r w:rsidRPr="009035A8">
        <w:rPr>
          <w:rFonts w:ascii="Times New Roman" w:hAnsi="Times New Roman"/>
          <w:sz w:val="20"/>
          <w:szCs w:val="20"/>
        </w:rPr>
        <w:t>*</w:t>
      </w:r>
      <w:r>
        <w:rPr>
          <w:rFonts w:ascii="Times New Roman" w:hAnsi="Times New Roman"/>
          <w:sz w:val="20"/>
          <w:szCs w:val="20"/>
        </w:rPr>
        <w:t xml:space="preserve">) </w:t>
      </w:r>
      <w:r w:rsidRPr="00F9014F">
        <w:rPr>
          <w:rFonts w:ascii="Times New Roman" w:hAnsi="Times New Roman"/>
          <w:b/>
          <w:sz w:val="20"/>
          <w:szCs w:val="20"/>
        </w:rPr>
        <w:t>Источник</w:t>
      </w:r>
      <w:r w:rsidRPr="003E5389">
        <w:rPr>
          <w:rFonts w:ascii="Times New Roman" w:hAnsi="Times New Roman"/>
          <w:sz w:val="20"/>
          <w:szCs w:val="20"/>
        </w:rPr>
        <w:t>:</w:t>
      </w:r>
      <w:r w:rsidRPr="009035A8">
        <w:rPr>
          <w:rFonts w:ascii="Times New Roman" w:hAnsi="Times New Roman"/>
          <w:sz w:val="20"/>
          <w:szCs w:val="20"/>
        </w:rPr>
        <w:t xml:space="preserve"> </w:t>
      </w:r>
      <w:r>
        <w:rPr>
          <w:rFonts w:ascii="Times New Roman" w:hAnsi="Times New Roman"/>
          <w:sz w:val="20"/>
          <w:szCs w:val="20"/>
        </w:rPr>
        <w:t>отчетная форма 428 (отчет об исполнении консолидированного бюджета субъекта)</w:t>
      </w:r>
    </w:p>
    <w:p w:rsidR="00732B10" w:rsidRPr="008B53C0" w:rsidRDefault="00732B10" w:rsidP="00732B10">
      <w:pPr>
        <w:spacing w:after="0" w:line="240" w:lineRule="auto"/>
        <w:ind w:firstLine="709"/>
        <w:jc w:val="both"/>
        <w:rPr>
          <w:rFonts w:ascii="Times New Roman" w:hAnsi="Times New Roman"/>
          <w:sz w:val="28"/>
          <w:szCs w:val="28"/>
        </w:rPr>
      </w:pPr>
      <w:r w:rsidRPr="008B53C0">
        <w:rPr>
          <w:rFonts w:ascii="Times New Roman" w:hAnsi="Times New Roman"/>
          <w:sz w:val="28"/>
          <w:szCs w:val="28"/>
        </w:rPr>
        <w:t>Динамика соотношений капитальных и текущих расходов консолидированного бюджета Чеч</w:t>
      </w:r>
      <w:r>
        <w:rPr>
          <w:rFonts w:ascii="Times New Roman" w:hAnsi="Times New Roman"/>
          <w:sz w:val="28"/>
          <w:szCs w:val="28"/>
        </w:rPr>
        <w:t>енской Республики (см. слайд № 10</w:t>
      </w:r>
      <w:r w:rsidRPr="008B53C0">
        <w:rPr>
          <w:rFonts w:ascii="Times New Roman" w:hAnsi="Times New Roman"/>
          <w:sz w:val="28"/>
          <w:szCs w:val="28"/>
        </w:rPr>
        <w:t xml:space="preserve">) показывает, что </w:t>
      </w:r>
      <w:r>
        <w:rPr>
          <w:rFonts w:ascii="Times New Roman" w:hAnsi="Times New Roman"/>
          <w:sz w:val="28"/>
          <w:szCs w:val="28"/>
        </w:rPr>
        <w:t xml:space="preserve">2013 году произошло резкое сокращение капитальных расходов. </w:t>
      </w:r>
    </w:p>
    <w:p w:rsidR="00732B10" w:rsidRPr="00F9014F" w:rsidRDefault="00732B10" w:rsidP="00732B10">
      <w:pPr>
        <w:spacing w:after="0" w:line="240" w:lineRule="auto"/>
        <w:ind w:firstLine="709"/>
        <w:jc w:val="right"/>
        <w:rPr>
          <w:rFonts w:ascii="Times New Roman" w:hAnsi="Times New Roman"/>
          <w:b/>
          <w:sz w:val="28"/>
          <w:szCs w:val="28"/>
        </w:rPr>
      </w:pPr>
      <w:r w:rsidRPr="00F9014F">
        <w:rPr>
          <w:rFonts w:ascii="Times New Roman" w:hAnsi="Times New Roman"/>
          <w:b/>
          <w:sz w:val="28"/>
          <w:szCs w:val="28"/>
        </w:rPr>
        <w:t>Слайд</w:t>
      </w:r>
      <w:r>
        <w:rPr>
          <w:rFonts w:ascii="Times New Roman" w:hAnsi="Times New Roman"/>
          <w:b/>
          <w:sz w:val="28"/>
          <w:szCs w:val="28"/>
        </w:rPr>
        <w:t xml:space="preserve"> № 10</w:t>
      </w:r>
    </w:p>
    <w:p w:rsidR="00732B10" w:rsidRDefault="00732B10" w:rsidP="00732B10">
      <w:pPr>
        <w:spacing w:after="0" w:line="360" w:lineRule="auto"/>
        <w:jc w:val="both"/>
        <w:rPr>
          <w:rFonts w:ascii="Times New Roman" w:hAnsi="Times New Roman"/>
          <w:sz w:val="28"/>
          <w:szCs w:val="28"/>
        </w:rPr>
      </w:pPr>
      <w:r>
        <w:rPr>
          <w:noProof/>
          <w:lang w:eastAsia="ru-RU"/>
        </w:rPr>
        <w:drawing>
          <wp:inline distT="0" distB="0" distL="0" distR="0" wp14:anchorId="6E470993" wp14:editId="364738F9">
            <wp:extent cx="5947576" cy="2965836"/>
            <wp:effectExtent l="0" t="0" r="0" b="6350"/>
            <wp:docPr id="46" name="Диаграмма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32B10" w:rsidRPr="003249CE" w:rsidRDefault="00732B10" w:rsidP="00732B10">
      <w:pPr>
        <w:spacing w:after="0" w:line="360" w:lineRule="auto"/>
        <w:jc w:val="both"/>
        <w:rPr>
          <w:rFonts w:ascii="Times New Roman" w:hAnsi="Times New Roman"/>
          <w:sz w:val="28"/>
          <w:szCs w:val="28"/>
        </w:rPr>
      </w:pPr>
      <w:r w:rsidRPr="009035A8">
        <w:rPr>
          <w:rFonts w:ascii="Times New Roman" w:hAnsi="Times New Roman"/>
          <w:sz w:val="20"/>
          <w:szCs w:val="20"/>
        </w:rPr>
        <w:t>*</w:t>
      </w:r>
      <w:r>
        <w:rPr>
          <w:rFonts w:ascii="Times New Roman" w:hAnsi="Times New Roman"/>
          <w:sz w:val="20"/>
          <w:szCs w:val="20"/>
        </w:rPr>
        <w:t xml:space="preserve">) </w:t>
      </w:r>
      <w:r w:rsidRPr="008B53C0">
        <w:rPr>
          <w:rFonts w:ascii="Times New Roman" w:hAnsi="Times New Roman"/>
          <w:b/>
          <w:sz w:val="20"/>
          <w:szCs w:val="20"/>
        </w:rPr>
        <w:t>Источник</w:t>
      </w:r>
      <w:r w:rsidRPr="003E5389">
        <w:rPr>
          <w:rFonts w:ascii="Times New Roman" w:hAnsi="Times New Roman"/>
          <w:sz w:val="20"/>
          <w:szCs w:val="20"/>
        </w:rPr>
        <w:t>:</w:t>
      </w:r>
      <w:r w:rsidRPr="009035A8">
        <w:rPr>
          <w:rFonts w:ascii="Times New Roman" w:hAnsi="Times New Roman"/>
          <w:sz w:val="20"/>
          <w:szCs w:val="20"/>
        </w:rPr>
        <w:t xml:space="preserve"> </w:t>
      </w:r>
      <w:r>
        <w:rPr>
          <w:rFonts w:ascii="Times New Roman" w:hAnsi="Times New Roman"/>
          <w:sz w:val="20"/>
          <w:szCs w:val="20"/>
        </w:rPr>
        <w:t>отчетная форма 428 (отчет об исполнении консолидированного бюджета субъекта)</w:t>
      </w:r>
    </w:p>
    <w:p w:rsidR="00732B10" w:rsidRPr="00C20F72" w:rsidRDefault="00732B10" w:rsidP="00732B10">
      <w:pPr>
        <w:spacing w:after="0" w:line="240" w:lineRule="auto"/>
        <w:jc w:val="both"/>
        <w:rPr>
          <w:rFonts w:ascii="Times New Roman" w:hAnsi="Times New Roman"/>
          <w:sz w:val="28"/>
          <w:szCs w:val="28"/>
        </w:rPr>
      </w:pPr>
    </w:p>
    <w:p w:rsidR="00732B10" w:rsidRDefault="00732B10" w:rsidP="00732B10">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r w:rsidRPr="00A2469F">
        <w:rPr>
          <w:rFonts w:ascii="Times New Roman" w:hAnsi="Times New Roman"/>
          <w:sz w:val="28"/>
          <w:szCs w:val="28"/>
        </w:rPr>
        <w:t>В структуре расходов консолидированного бюджета республики бюджетные инвестиции в основные фонды составляют 13,7%, и текущие расходы составляют соответственно 86,3% от общих расходов бюджета</w:t>
      </w:r>
      <w:r>
        <w:rPr>
          <w:rFonts w:ascii="Times New Roman" w:hAnsi="Times New Roman"/>
          <w:sz w:val="28"/>
          <w:szCs w:val="28"/>
        </w:rPr>
        <w:t xml:space="preserve">. </w:t>
      </w:r>
    </w:p>
    <w:p w:rsidR="00732B10" w:rsidRPr="000627B8" w:rsidRDefault="00732B10" w:rsidP="00732B10">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сравнении с 2012 </w:t>
      </w:r>
      <w:r w:rsidRPr="00A2469F">
        <w:rPr>
          <w:rFonts w:ascii="Times New Roman" w:hAnsi="Times New Roman"/>
          <w:sz w:val="28"/>
          <w:szCs w:val="28"/>
        </w:rPr>
        <w:t>годом соотношение долей текущих и капитальных расходов изменилось в сторону сокращения бюджетных инвестиций в основные фонды на 19,9%.</w:t>
      </w:r>
    </w:p>
    <w:p w:rsidR="00732B10" w:rsidRDefault="00732B10" w:rsidP="00732B10">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Оплата труда и </w:t>
      </w:r>
      <w:r w:rsidRPr="00102B80">
        <w:rPr>
          <w:rFonts w:ascii="Times New Roman" w:hAnsi="Times New Roman"/>
          <w:sz w:val="28"/>
          <w:szCs w:val="28"/>
          <w:lang w:eastAsia="ru-RU"/>
        </w:rPr>
        <w:t>начисления на выплаты по оплате труда</w:t>
      </w:r>
      <w:r>
        <w:rPr>
          <w:rFonts w:ascii="Times New Roman" w:hAnsi="Times New Roman"/>
          <w:sz w:val="28"/>
          <w:szCs w:val="28"/>
          <w:lang w:eastAsia="ru-RU"/>
        </w:rPr>
        <w:t xml:space="preserve"> (</w:t>
      </w:r>
      <w:r>
        <w:rPr>
          <w:rFonts w:ascii="Times New Roman" w:hAnsi="Times New Roman"/>
          <w:sz w:val="28"/>
          <w:szCs w:val="28"/>
        </w:rPr>
        <w:t>без учета заработной платы и начислений на нее работников автономных и бюджетных учреждений</w:t>
      </w:r>
      <w:r>
        <w:rPr>
          <w:rFonts w:ascii="Times New Roman" w:hAnsi="Times New Roman"/>
          <w:sz w:val="28"/>
          <w:szCs w:val="28"/>
          <w:lang w:eastAsia="ru-RU"/>
        </w:rPr>
        <w:t>)</w:t>
      </w:r>
      <w:r>
        <w:rPr>
          <w:rFonts w:ascii="Times New Roman" w:hAnsi="Times New Roman"/>
          <w:sz w:val="28"/>
          <w:szCs w:val="28"/>
        </w:rPr>
        <w:t xml:space="preserve"> в расходах консолидированного бюджета за 2013 год занимают 8,9% или составили в суммарном выражении 5 млрд. 812,</w:t>
      </w:r>
      <w:r w:rsidRPr="00D70375">
        <w:rPr>
          <w:rFonts w:ascii="Times New Roman" w:hAnsi="Times New Roman"/>
          <w:sz w:val="28"/>
          <w:szCs w:val="28"/>
        </w:rPr>
        <w:t xml:space="preserve">6 </w:t>
      </w:r>
      <w:r>
        <w:rPr>
          <w:rFonts w:ascii="Times New Roman" w:hAnsi="Times New Roman"/>
          <w:sz w:val="28"/>
          <w:szCs w:val="28"/>
        </w:rPr>
        <w:t>млн</w:t>
      </w:r>
      <w:r w:rsidRPr="00D70375">
        <w:rPr>
          <w:rFonts w:ascii="Times New Roman" w:hAnsi="Times New Roman"/>
          <w:sz w:val="28"/>
          <w:szCs w:val="28"/>
        </w:rPr>
        <w:t>. рублей</w:t>
      </w:r>
      <w:r>
        <w:rPr>
          <w:rFonts w:ascii="Times New Roman" w:hAnsi="Times New Roman"/>
          <w:sz w:val="28"/>
          <w:szCs w:val="28"/>
        </w:rPr>
        <w:t xml:space="preserve">. </w:t>
      </w:r>
    </w:p>
    <w:p w:rsidR="00732B10" w:rsidRDefault="00732B10" w:rsidP="00732B10">
      <w:pPr>
        <w:tabs>
          <w:tab w:val="left" w:pos="7020"/>
        </w:tabs>
        <w:spacing w:line="360" w:lineRule="auto"/>
        <w:ind w:firstLine="540"/>
        <w:jc w:val="both"/>
        <w:rPr>
          <w:rFonts w:ascii="Times New Roman" w:hAnsi="Times New Roman"/>
          <w:sz w:val="28"/>
          <w:szCs w:val="28"/>
        </w:rPr>
      </w:pPr>
      <w:r w:rsidRPr="00F9014F">
        <w:rPr>
          <w:rFonts w:ascii="Times New Roman" w:hAnsi="Times New Roman"/>
          <w:sz w:val="28"/>
          <w:szCs w:val="28"/>
        </w:rPr>
        <w:t xml:space="preserve">Развернутая информация о результатах деятельности министерства по использованию бюджетов бюджетной системы республики за 2013 год  представлено в </w:t>
      </w:r>
      <w:r>
        <w:rPr>
          <w:rFonts w:ascii="Times New Roman" w:hAnsi="Times New Roman"/>
          <w:sz w:val="28"/>
          <w:szCs w:val="28"/>
        </w:rPr>
        <w:t>раздаточном материале Коллегии.</w:t>
      </w:r>
    </w:p>
    <w:p w:rsidR="00732B10" w:rsidRPr="00DB376E" w:rsidRDefault="00732B10" w:rsidP="00732B10">
      <w:pPr>
        <w:spacing w:line="360" w:lineRule="auto"/>
        <w:jc w:val="both"/>
        <w:rPr>
          <w:rFonts w:ascii="Times New Roman" w:hAnsi="Times New Roman"/>
          <w:sz w:val="28"/>
          <w:szCs w:val="28"/>
        </w:rPr>
      </w:pPr>
      <w:r w:rsidRPr="00F9014F">
        <w:rPr>
          <w:rFonts w:ascii="Times New Roman" w:hAnsi="Times New Roman"/>
          <w:b/>
          <w:sz w:val="28"/>
          <w:szCs w:val="28"/>
        </w:rPr>
        <w:t>Финансовый контроль исполнения бюджетов бюджетной системы ЧР.</w:t>
      </w:r>
      <w:r>
        <w:rPr>
          <w:rFonts w:ascii="Times New Roman" w:hAnsi="Times New Roman"/>
          <w:sz w:val="28"/>
          <w:szCs w:val="28"/>
        </w:rPr>
        <w:t xml:space="preserve"> </w:t>
      </w:r>
      <w:r w:rsidRPr="00DB376E">
        <w:rPr>
          <w:rFonts w:ascii="Times New Roman" w:hAnsi="Times New Roman"/>
          <w:sz w:val="28"/>
          <w:szCs w:val="28"/>
        </w:rPr>
        <w:t>В 2013 году контрольно-реви</w:t>
      </w:r>
      <w:r>
        <w:rPr>
          <w:rFonts w:ascii="Times New Roman" w:hAnsi="Times New Roman"/>
          <w:sz w:val="28"/>
          <w:szCs w:val="28"/>
        </w:rPr>
        <w:t>зионный департамент Минфина ЧР осуществлял</w:t>
      </w:r>
      <w:r w:rsidRPr="00DB376E">
        <w:rPr>
          <w:rFonts w:ascii="Times New Roman" w:hAnsi="Times New Roman"/>
          <w:sz w:val="28"/>
          <w:szCs w:val="28"/>
        </w:rPr>
        <w:t xml:space="preserve"> контрольно-ревизионную деятельность в соответствии с законодательством Российской Федерации, Чеченской Республики, на основании плана контрольно-ревизионной работы Министерства финансов Чеченской Республики на 2013 год, утвержденного распоряжением Правительства Чеченской Республики от 29.12.2012</w:t>
      </w:r>
      <w:r>
        <w:rPr>
          <w:rFonts w:ascii="Times New Roman" w:hAnsi="Times New Roman"/>
          <w:sz w:val="28"/>
          <w:szCs w:val="28"/>
        </w:rPr>
        <w:t xml:space="preserve"> г. № 384-р. </w:t>
      </w:r>
    </w:p>
    <w:p w:rsidR="00732B10" w:rsidRPr="00DB376E" w:rsidRDefault="00732B10" w:rsidP="00732B10">
      <w:pPr>
        <w:spacing w:line="360" w:lineRule="auto"/>
        <w:ind w:firstLine="540"/>
        <w:jc w:val="both"/>
        <w:rPr>
          <w:rFonts w:ascii="Times New Roman" w:hAnsi="Times New Roman"/>
          <w:sz w:val="28"/>
          <w:szCs w:val="28"/>
        </w:rPr>
      </w:pPr>
      <w:r>
        <w:rPr>
          <w:rFonts w:ascii="Times New Roman" w:hAnsi="Times New Roman"/>
          <w:sz w:val="28"/>
          <w:szCs w:val="28"/>
        </w:rPr>
        <w:t>По состоянию на 09.01.2014 года</w:t>
      </w:r>
      <w:r w:rsidRPr="00DB376E">
        <w:rPr>
          <w:rFonts w:ascii="Times New Roman" w:hAnsi="Times New Roman"/>
          <w:sz w:val="28"/>
          <w:szCs w:val="28"/>
        </w:rPr>
        <w:t xml:space="preserve"> контрольно-ревизионным департаментом Министерства финансов Чеченской Республики охвачено ревизиями (проверками) </w:t>
      </w:r>
      <w:r>
        <w:rPr>
          <w:rFonts w:ascii="Times New Roman" w:hAnsi="Times New Roman"/>
          <w:sz w:val="28"/>
          <w:szCs w:val="28"/>
        </w:rPr>
        <w:t>65</w:t>
      </w:r>
      <w:r w:rsidRPr="00DB376E">
        <w:rPr>
          <w:rFonts w:ascii="Times New Roman" w:hAnsi="Times New Roman"/>
          <w:sz w:val="28"/>
          <w:szCs w:val="28"/>
        </w:rPr>
        <w:t>3 учреждений и предприятий, из них по плану контрольно-ревизионной работы Министерства финансов Чеченской Республики на 2013 год, утвержденному распоряжением Правительства Чеченской Респуб</w:t>
      </w:r>
      <w:r>
        <w:rPr>
          <w:rFonts w:ascii="Times New Roman" w:hAnsi="Times New Roman"/>
          <w:sz w:val="28"/>
          <w:szCs w:val="28"/>
        </w:rPr>
        <w:t>лики от 29.12.2012г. № 384-р 588</w:t>
      </w:r>
      <w:r w:rsidRPr="00DB376E">
        <w:rPr>
          <w:rFonts w:ascii="Times New Roman" w:hAnsi="Times New Roman"/>
          <w:sz w:val="28"/>
          <w:szCs w:val="28"/>
        </w:rPr>
        <w:t xml:space="preserve"> ревизий, 2 проверки по заданию Администрации Главы и Правительства Чеченской Республики, 18 прове</w:t>
      </w:r>
      <w:r>
        <w:rPr>
          <w:rFonts w:ascii="Times New Roman" w:hAnsi="Times New Roman"/>
          <w:sz w:val="28"/>
          <w:szCs w:val="28"/>
        </w:rPr>
        <w:t>рок по обращению прокуратуры, 9</w:t>
      </w:r>
      <w:r w:rsidRPr="00DB376E">
        <w:rPr>
          <w:rFonts w:ascii="Times New Roman" w:hAnsi="Times New Roman"/>
          <w:sz w:val="28"/>
          <w:szCs w:val="28"/>
        </w:rPr>
        <w:t xml:space="preserve"> проверок по обращению следственного комитета, 6 проверок по обращению органов МВД, 1 проверка </w:t>
      </w:r>
      <w:r w:rsidRPr="00DB376E">
        <w:rPr>
          <w:rFonts w:ascii="Times New Roman" w:hAnsi="Times New Roman"/>
          <w:sz w:val="28"/>
          <w:szCs w:val="28"/>
        </w:rPr>
        <w:lastRenderedPageBreak/>
        <w:t>по обращению органов ФСБ, 27 проверок по обращению Совета безопасности ЧР, 2 проверки по обращению МИЗО ЧР.</w:t>
      </w:r>
    </w:p>
    <w:p w:rsidR="00732B10" w:rsidRPr="00757EFB" w:rsidRDefault="00732B10" w:rsidP="00732B10">
      <w:pPr>
        <w:spacing w:line="360" w:lineRule="auto"/>
        <w:ind w:firstLine="540"/>
        <w:jc w:val="both"/>
        <w:rPr>
          <w:rFonts w:ascii="Times New Roman" w:hAnsi="Times New Roman"/>
          <w:bCs/>
          <w:sz w:val="28"/>
          <w:szCs w:val="28"/>
        </w:rPr>
      </w:pPr>
      <w:r w:rsidRPr="00DB376E">
        <w:rPr>
          <w:rFonts w:ascii="Times New Roman" w:hAnsi="Times New Roman"/>
          <w:sz w:val="28"/>
          <w:szCs w:val="28"/>
        </w:rPr>
        <w:t xml:space="preserve">Сумма выявленных </w:t>
      </w:r>
      <w:r>
        <w:rPr>
          <w:rFonts w:ascii="Times New Roman" w:hAnsi="Times New Roman"/>
          <w:sz w:val="28"/>
          <w:szCs w:val="28"/>
        </w:rPr>
        <w:t xml:space="preserve">финансовых нарушений составила  687 632 234 руб. </w:t>
      </w:r>
    </w:p>
    <w:p w:rsidR="00732B10" w:rsidRPr="00DE6AF2" w:rsidRDefault="00732B10" w:rsidP="00732B10">
      <w:pPr>
        <w:tabs>
          <w:tab w:val="left" w:pos="7020"/>
        </w:tabs>
        <w:spacing w:line="360" w:lineRule="auto"/>
        <w:ind w:firstLine="540"/>
        <w:jc w:val="both"/>
        <w:rPr>
          <w:rFonts w:ascii="Times New Roman" w:hAnsi="Times New Roman"/>
          <w:color w:val="000000"/>
          <w:sz w:val="28"/>
          <w:szCs w:val="28"/>
        </w:rPr>
      </w:pPr>
      <w:r w:rsidRPr="00A874D1">
        <w:rPr>
          <w:rFonts w:ascii="Times New Roman" w:hAnsi="Times New Roman"/>
          <w:sz w:val="28"/>
          <w:szCs w:val="28"/>
        </w:rPr>
        <w:t>Направлено 523 представлений о ненадлежащем исполнении бюджета и применении мер по недопущению в дальнейшем нарушений требований бюджетного законодательства Российской Федерации.</w:t>
      </w:r>
      <w:r>
        <w:rPr>
          <w:rFonts w:ascii="Times New Roman" w:hAnsi="Times New Roman"/>
          <w:sz w:val="28"/>
          <w:szCs w:val="28"/>
        </w:rPr>
        <w:t xml:space="preserve"> Развернутая информация о результатах деятельности министерства по финансовому контролю представлено в раздаточном материале Коллегии.</w:t>
      </w:r>
    </w:p>
    <w:p w:rsidR="00732B10" w:rsidRPr="00157417" w:rsidRDefault="00732B10" w:rsidP="00732B10">
      <w:pPr>
        <w:spacing w:line="360" w:lineRule="auto"/>
        <w:jc w:val="both"/>
        <w:rPr>
          <w:rFonts w:ascii="Times New Roman" w:hAnsi="Times New Roman"/>
          <w:b/>
          <w:sz w:val="28"/>
        </w:rPr>
      </w:pPr>
    </w:p>
    <w:p w:rsidR="00732B10" w:rsidRPr="00757EFB" w:rsidRDefault="00732B10" w:rsidP="00732B10">
      <w:pPr>
        <w:spacing w:line="360" w:lineRule="auto"/>
        <w:jc w:val="both"/>
        <w:rPr>
          <w:rFonts w:ascii="Times New Roman" w:hAnsi="Times New Roman"/>
          <w:b/>
          <w:sz w:val="28"/>
        </w:rPr>
      </w:pPr>
      <w:r w:rsidRPr="00757EFB">
        <w:rPr>
          <w:rFonts w:ascii="Times New Roman" w:hAnsi="Times New Roman"/>
          <w:b/>
          <w:sz w:val="28"/>
          <w:lang w:val="en-US"/>
        </w:rPr>
        <w:t>III</w:t>
      </w:r>
      <w:r w:rsidRPr="00757EFB">
        <w:rPr>
          <w:rFonts w:ascii="Times New Roman" w:hAnsi="Times New Roman"/>
          <w:b/>
          <w:sz w:val="28"/>
        </w:rPr>
        <w:t xml:space="preserve">. Совершенствование финансов ЧР. </w:t>
      </w:r>
    </w:p>
    <w:p w:rsidR="00732B10" w:rsidRPr="00CB353A" w:rsidRDefault="00732B10" w:rsidP="00732B10">
      <w:pPr>
        <w:spacing w:line="360" w:lineRule="auto"/>
        <w:jc w:val="both"/>
        <w:rPr>
          <w:rFonts w:ascii="Times New Roman" w:hAnsi="Times New Roman"/>
          <w:sz w:val="28"/>
        </w:rPr>
      </w:pPr>
      <w:r>
        <w:rPr>
          <w:rFonts w:ascii="Times New Roman" w:hAnsi="Times New Roman"/>
          <w:sz w:val="28"/>
        </w:rPr>
        <w:t xml:space="preserve">       </w:t>
      </w:r>
      <w:r w:rsidRPr="00CB353A">
        <w:rPr>
          <w:rFonts w:ascii="Times New Roman" w:hAnsi="Times New Roman"/>
          <w:sz w:val="28"/>
        </w:rPr>
        <w:t>Вопросы совершенствования региональных финансов министерством финансов ЧР  предлагается рассмотреть в двух направлениях: м</w:t>
      </w:r>
      <w:r w:rsidRPr="00CB353A">
        <w:rPr>
          <w:rFonts w:ascii="Times New Roman" w:hAnsi="Times New Roman"/>
          <w:sz w:val="28"/>
          <w:szCs w:val="24"/>
        </w:rPr>
        <w:t xml:space="preserve">еханизм кластерной политики в обеспечении роста налогового потенциала республики; меры </w:t>
      </w:r>
      <w:r w:rsidRPr="00757EFB">
        <w:rPr>
          <w:rFonts w:ascii="Times New Roman" w:hAnsi="Times New Roman"/>
          <w:sz w:val="28"/>
          <w:szCs w:val="24"/>
        </w:rPr>
        <w:t xml:space="preserve">финансового обеспечения развития экономики республики. </w:t>
      </w:r>
      <w:r w:rsidRPr="00CB353A">
        <w:rPr>
          <w:rFonts w:ascii="Times New Roman" w:hAnsi="Times New Roman"/>
          <w:sz w:val="32"/>
        </w:rPr>
        <w:t xml:space="preserve"> </w:t>
      </w:r>
    </w:p>
    <w:p w:rsidR="00732B10" w:rsidRPr="00757EFB" w:rsidRDefault="00732B10" w:rsidP="00732B10">
      <w:pPr>
        <w:spacing w:after="0" w:line="360" w:lineRule="auto"/>
        <w:jc w:val="both"/>
        <w:rPr>
          <w:rFonts w:ascii="Times New Roman" w:hAnsi="Times New Roman"/>
          <w:sz w:val="28"/>
          <w:szCs w:val="28"/>
        </w:rPr>
      </w:pPr>
      <w:r w:rsidRPr="00757EFB">
        <w:rPr>
          <w:rFonts w:ascii="Times New Roman" w:hAnsi="Times New Roman"/>
          <w:b/>
          <w:sz w:val="28"/>
        </w:rPr>
        <w:t xml:space="preserve">  3.1. Механизм кластерной политики.</w:t>
      </w:r>
      <w:r>
        <w:rPr>
          <w:rFonts w:ascii="Times New Roman" w:hAnsi="Times New Roman"/>
          <w:sz w:val="28"/>
        </w:rPr>
        <w:t xml:space="preserve"> </w:t>
      </w:r>
      <w:r>
        <w:rPr>
          <w:rFonts w:ascii="Times New Roman" w:hAnsi="Times New Roman"/>
          <w:sz w:val="28"/>
          <w:szCs w:val="28"/>
        </w:rPr>
        <w:t xml:space="preserve">     В документе</w:t>
      </w:r>
      <w:r>
        <w:rPr>
          <w:rFonts w:ascii="Times New Roman" w:hAnsi="Times New Roman"/>
          <w:i/>
          <w:sz w:val="28"/>
          <w:szCs w:val="28"/>
        </w:rPr>
        <w:t xml:space="preserve"> </w:t>
      </w:r>
      <w:r>
        <w:rPr>
          <w:rFonts w:ascii="Times New Roman" w:hAnsi="Times New Roman"/>
          <w:sz w:val="28"/>
          <w:szCs w:val="28"/>
        </w:rPr>
        <w:t xml:space="preserve">«Видение развитие налогового потенциала Чеченской республики», разработанного Министерством финансов Чеченской Республики принятом на Коллегии от 18.06.2013 года </w:t>
      </w:r>
      <w:r>
        <w:rPr>
          <w:rFonts w:ascii="Times New Roman" w:hAnsi="Times New Roman"/>
          <w:i/>
          <w:sz w:val="28"/>
          <w:szCs w:val="28"/>
        </w:rPr>
        <w:t xml:space="preserve"> </w:t>
      </w:r>
      <w:r w:rsidRPr="009576E7">
        <w:rPr>
          <w:rFonts w:ascii="Times New Roman" w:hAnsi="Times New Roman"/>
          <w:sz w:val="28"/>
          <w:szCs w:val="28"/>
        </w:rPr>
        <w:t>отмечена</w:t>
      </w:r>
      <w:r>
        <w:rPr>
          <w:rFonts w:ascii="Times New Roman" w:hAnsi="Times New Roman"/>
          <w:i/>
          <w:sz w:val="28"/>
          <w:szCs w:val="28"/>
        </w:rPr>
        <w:t xml:space="preserve"> необходимость роста капитальных вложений в производственные объекты, дающие больший синергетический экономический эффект</w:t>
      </w:r>
      <w:r>
        <w:rPr>
          <w:rFonts w:ascii="Times New Roman" w:hAnsi="Times New Roman"/>
          <w:sz w:val="28"/>
          <w:szCs w:val="28"/>
        </w:rPr>
        <w:t xml:space="preserve">.  </w:t>
      </w:r>
    </w:p>
    <w:p w:rsidR="00732B10" w:rsidRPr="0006293A" w:rsidRDefault="00732B10" w:rsidP="00732B10">
      <w:pPr>
        <w:spacing w:line="360" w:lineRule="auto"/>
        <w:jc w:val="both"/>
        <w:rPr>
          <w:rFonts w:ascii="Times New Roman" w:hAnsi="Times New Roman"/>
          <w:sz w:val="28"/>
        </w:rPr>
      </w:pPr>
      <w:r>
        <w:rPr>
          <w:rFonts w:ascii="Times New Roman" w:hAnsi="Times New Roman"/>
          <w:sz w:val="28"/>
        </w:rPr>
        <w:t xml:space="preserve">       В целях обеспечения активации работы по росту регионального налогового потенциала Министерством финансов Чеченской Республики предлагается применить в дополнении к традиционной  промышленной политике кластерную политику. </w:t>
      </w:r>
      <w:r w:rsidRPr="0006293A">
        <w:rPr>
          <w:rFonts w:ascii="Times New Roman" w:hAnsi="Times New Roman"/>
          <w:sz w:val="28"/>
        </w:rPr>
        <w:t>В отношении экономики республики наиболее актуальными Мин</w:t>
      </w:r>
      <w:r>
        <w:rPr>
          <w:rFonts w:ascii="Times New Roman" w:hAnsi="Times New Roman"/>
          <w:sz w:val="28"/>
        </w:rPr>
        <w:t>фин республики</w:t>
      </w:r>
      <w:r w:rsidRPr="0006293A">
        <w:rPr>
          <w:rFonts w:ascii="Times New Roman" w:hAnsi="Times New Roman"/>
          <w:sz w:val="28"/>
        </w:rPr>
        <w:t xml:space="preserve"> считает следующие семь кластеров.</w:t>
      </w:r>
    </w:p>
    <w:p w:rsidR="00732B10" w:rsidRPr="00483C23" w:rsidRDefault="00732B10" w:rsidP="00732B10">
      <w:pPr>
        <w:spacing w:line="360" w:lineRule="auto"/>
        <w:jc w:val="both"/>
        <w:rPr>
          <w:rFonts w:ascii="Times New Roman" w:hAnsi="Times New Roman"/>
          <w:sz w:val="28"/>
        </w:rPr>
      </w:pPr>
      <w:r w:rsidRPr="0006293A">
        <w:rPr>
          <w:rFonts w:ascii="Times New Roman" w:hAnsi="Times New Roman"/>
          <w:b/>
          <w:i/>
          <w:sz w:val="28"/>
          <w:lang w:val="en-US"/>
        </w:rPr>
        <w:lastRenderedPageBreak/>
        <w:t>a</w:t>
      </w:r>
      <w:r w:rsidRPr="00157417">
        <w:rPr>
          <w:rFonts w:ascii="Times New Roman" w:hAnsi="Times New Roman"/>
          <w:b/>
          <w:i/>
          <w:sz w:val="28"/>
        </w:rPr>
        <w:t>)</w:t>
      </w:r>
      <w:r w:rsidRPr="0006293A">
        <w:rPr>
          <w:rFonts w:ascii="Times New Roman" w:hAnsi="Times New Roman"/>
          <w:b/>
          <w:i/>
          <w:sz w:val="28"/>
        </w:rPr>
        <w:t xml:space="preserve"> Нефтегазохимический кластер.</w:t>
      </w:r>
      <w:r w:rsidRPr="00483C23">
        <w:rPr>
          <w:rFonts w:ascii="Times New Roman" w:hAnsi="Times New Roman"/>
          <w:b/>
          <w:sz w:val="28"/>
        </w:rPr>
        <w:t xml:space="preserve"> </w:t>
      </w:r>
      <w:r w:rsidRPr="00483C23">
        <w:rPr>
          <w:rFonts w:ascii="Times New Roman" w:hAnsi="Times New Roman"/>
          <w:sz w:val="28"/>
        </w:rPr>
        <w:t xml:space="preserve">Нефтегазохимия все больше претендует на роль одного из драйверов роста российской экономики, а, следовательно,  может стать таковым и </w:t>
      </w:r>
      <w:r>
        <w:rPr>
          <w:rFonts w:ascii="Times New Roman" w:hAnsi="Times New Roman"/>
          <w:sz w:val="28"/>
        </w:rPr>
        <w:t xml:space="preserve">в </w:t>
      </w:r>
      <w:r w:rsidRPr="00483C23">
        <w:rPr>
          <w:rFonts w:ascii="Times New Roman" w:hAnsi="Times New Roman"/>
          <w:sz w:val="28"/>
        </w:rPr>
        <w:t>экономике Чеченской Республики. Кроме того, согласно совещанию по вопросам развития отрасли, которое президент России Владимир Путин провел в Тобольске 15 октября 2013 года, сегодня российское государство готово стимулировать рост внутреннего спроса на нефтехимическую продукцию.</w:t>
      </w:r>
    </w:p>
    <w:p w:rsidR="00732B10" w:rsidRPr="00D111B9" w:rsidRDefault="00732B10" w:rsidP="00732B10">
      <w:pPr>
        <w:spacing w:line="360" w:lineRule="auto"/>
        <w:jc w:val="both"/>
        <w:rPr>
          <w:rFonts w:ascii="Times New Roman" w:hAnsi="Times New Roman"/>
          <w:sz w:val="28"/>
        </w:rPr>
      </w:pPr>
      <w:r w:rsidRPr="008618B6">
        <w:rPr>
          <w:rFonts w:ascii="Times New Roman" w:hAnsi="Times New Roman"/>
          <w:sz w:val="28"/>
        </w:rPr>
        <w:t xml:space="preserve">       </w:t>
      </w:r>
      <w:r>
        <w:rPr>
          <w:rFonts w:ascii="Times New Roman" w:hAnsi="Times New Roman"/>
          <w:sz w:val="28"/>
        </w:rPr>
        <w:t xml:space="preserve">Нефтегазохимический кластер играл очень большую роль в экономике Чечено-Ингушской Республике в советские годы и </w:t>
      </w:r>
      <w:r w:rsidR="00D111B9">
        <w:rPr>
          <w:rFonts w:ascii="Times New Roman" w:hAnsi="Times New Roman"/>
          <w:sz w:val="28"/>
        </w:rPr>
        <w:t xml:space="preserve">начале 90-х годов новой России, а </w:t>
      </w:r>
      <w:r>
        <w:rPr>
          <w:rFonts w:ascii="Times New Roman" w:hAnsi="Times New Roman"/>
          <w:sz w:val="28"/>
        </w:rPr>
        <w:t xml:space="preserve">Чеченская Республика </w:t>
      </w:r>
      <w:r w:rsidR="00D111B9">
        <w:rPr>
          <w:rFonts w:ascii="Times New Roman" w:hAnsi="Times New Roman"/>
          <w:sz w:val="28"/>
        </w:rPr>
        <w:t xml:space="preserve">сегодня </w:t>
      </w:r>
      <w:r>
        <w:rPr>
          <w:rFonts w:ascii="Times New Roman" w:hAnsi="Times New Roman"/>
          <w:sz w:val="28"/>
        </w:rPr>
        <w:t>располагает всеми факторами конкурентного развити</w:t>
      </w:r>
      <w:r w:rsidR="00D111B9">
        <w:rPr>
          <w:rFonts w:ascii="Times New Roman" w:hAnsi="Times New Roman"/>
          <w:sz w:val="28"/>
        </w:rPr>
        <w:t>я нефтегазохимического кластера.  В</w:t>
      </w:r>
      <w:r>
        <w:rPr>
          <w:rFonts w:ascii="Times New Roman" w:hAnsi="Times New Roman"/>
          <w:sz w:val="28"/>
        </w:rPr>
        <w:t>ключая</w:t>
      </w:r>
      <w:r w:rsidR="00D111B9">
        <w:rPr>
          <w:rFonts w:ascii="Times New Roman" w:hAnsi="Times New Roman"/>
          <w:sz w:val="28"/>
        </w:rPr>
        <w:t>,</w:t>
      </w:r>
      <w:r>
        <w:rPr>
          <w:rFonts w:ascii="Times New Roman" w:hAnsi="Times New Roman"/>
          <w:sz w:val="28"/>
        </w:rPr>
        <w:t xml:space="preserve"> к</w:t>
      </w:r>
      <w:r w:rsidR="00D111B9">
        <w:rPr>
          <w:rFonts w:ascii="Times New Roman" w:hAnsi="Times New Roman"/>
          <w:sz w:val="28"/>
        </w:rPr>
        <w:t>ак запасы углеводородного сырья</w:t>
      </w:r>
      <w:r>
        <w:rPr>
          <w:rFonts w:ascii="Times New Roman" w:hAnsi="Times New Roman"/>
          <w:sz w:val="28"/>
        </w:rPr>
        <w:t xml:space="preserve"> </w:t>
      </w:r>
      <w:r w:rsidR="00D111B9">
        <w:rPr>
          <w:rFonts w:ascii="Times New Roman" w:hAnsi="Times New Roman"/>
          <w:sz w:val="28"/>
        </w:rPr>
        <w:t>(наращивания которых зависит  геологоразведочных и буровых работ)</w:t>
      </w:r>
      <w:r>
        <w:rPr>
          <w:rFonts w:ascii="Times New Roman" w:hAnsi="Times New Roman"/>
          <w:sz w:val="28"/>
        </w:rPr>
        <w:t>, так и значительные не занятые трудовые ресурсы.</w:t>
      </w:r>
      <w:r w:rsidR="00D111B9">
        <w:rPr>
          <w:rFonts w:ascii="Times New Roman" w:hAnsi="Times New Roman"/>
          <w:sz w:val="28"/>
        </w:rPr>
        <w:t xml:space="preserve"> </w:t>
      </w:r>
      <w:r>
        <w:rPr>
          <w:rFonts w:ascii="Times New Roman" w:hAnsi="Times New Roman"/>
          <w:sz w:val="28"/>
        </w:rPr>
        <w:t xml:space="preserve">Размораживание ОАО «Роснефть» вопроса строительства нефтеперерабатывающего завода и последующего перехода к реализации проекта по нефтехимии на территории Чеченской Республики позволит восстановить старейший в стране нефтегазохимический комплекс и существенно повысить уровень занятости населения республики. </w:t>
      </w:r>
    </w:p>
    <w:p w:rsidR="00732B10" w:rsidRDefault="00732B10" w:rsidP="00732B10">
      <w:pPr>
        <w:spacing w:line="360" w:lineRule="auto"/>
        <w:jc w:val="both"/>
        <w:rPr>
          <w:rFonts w:ascii="Times New Roman" w:hAnsi="Times New Roman"/>
          <w:sz w:val="28"/>
        </w:rPr>
      </w:pPr>
      <w:r w:rsidRPr="0006293A">
        <w:rPr>
          <w:rFonts w:ascii="Times New Roman" w:hAnsi="Times New Roman"/>
          <w:b/>
          <w:i/>
          <w:sz w:val="28"/>
          <w:lang w:val="en-US"/>
        </w:rPr>
        <w:t>b</w:t>
      </w:r>
      <w:r w:rsidRPr="00157417">
        <w:rPr>
          <w:rFonts w:ascii="Times New Roman" w:hAnsi="Times New Roman"/>
          <w:b/>
          <w:i/>
          <w:sz w:val="28"/>
        </w:rPr>
        <w:t>)</w:t>
      </w:r>
      <w:r w:rsidRPr="0006293A">
        <w:rPr>
          <w:rFonts w:ascii="Times New Roman" w:hAnsi="Times New Roman"/>
          <w:b/>
          <w:i/>
          <w:sz w:val="28"/>
        </w:rPr>
        <w:t xml:space="preserve"> Энергетический кластер. </w:t>
      </w:r>
      <w:r>
        <w:rPr>
          <w:rFonts w:ascii="Times New Roman" w:hAnsi="Times New Roman"/>
          <w:sz w:val="28"/>
        </w:rPr>
        <w:t xml:space="preserve">Качественное, надежное энергообеспечение сегодня является одним из главных факторов поступательного развития социально-экономической системы региона, повышения его инвестиционной привлекательности. Особую важность приобретает стратегическое планирование на региональном уровне развития энергетической инфраструктуры территории, призванное прогнозировать будущую социально-экономическую позицию региона и необходимые масштабы развития его </w:t>
      </w:r>
      <w:proofErr w:type="spellStart"/>
      <w:r>
        <w:rPr>
          <w:rFonts w:ascii="Times New Roman" w:hAnsi="Times New Roman"/>
          <w:sz w:val="28"/>
        </w:rPr>
        <w:t>энергоинфраструктуры</w:t>
      </w:r>
      <w:proofErr w:type="spellEnd"/>
      <w:r>
        <w:rPr>
          <w:rFonts w:ascii="Times New Roman" w:hAnsi="Times New Roman"/>
          <w:sz w:val="28"/>
        </w:rPr>
        <w:t xml:space="preserve">.      </w:t>
      </w:r>
    </w:p>
    <w:p w:rsidR="00732B10" w:rsidRDefault="00732B10" w:rsidP="00732B10">
      <w:pPr>
        <w:spacing w:line="360" w:lineRule="auto"/>
        <w:jc w:val="both"/>
        <w:rPr>
          <w:rFonts w:ascii="Times New Roman" w:hAnsi="Times New Roman"/>
          <w:sz w:val="28"/>
        </w:rPr>
      </w:pPr>
      <w:r>
        <w:rPr>
          <w:rFonts w:ascii="Times New Roman" w:hAnsi="Times New Roman"/>
          <w:sz w:val="28"/>
        </w:rPr>
        <w:t xml:space="preserve">       Чеченская Республика относится к числу наиболее </w:t>
      </w:r>
      <w:proofErr w:type="spellStart"/>
      <w:r>
        <w:rPr>
          <w:rFonts w:ascii="Times New Roman" w:hAnsi="Times New Roman"/>
          <w:sz w:val="28"/>
        </w:rPr>
        <w:t>энергодефицитных</w:t>
      </w:r>
      <w:proofErr w:type="spellEnd"/>
      <w:r>
        <w:rPr>
          <w:rFonts w:ascii="Times New Roman" w:hAnsi="Times New Roman"/>
          <w:sz w:val="28"/>
        </w:rPr>
        <w:t xml:space="preserve"> регионов Юга России. Это связано с отсутствием собственных генерирующих мощностей и постоянным увеличением потребностей </w:t>
      </w:r>
      <w:r>
        <w:rPr>
          <w:rFonts w:ascii="Times New Roman" w:hAnsi="Times New Roman"/>
          <w:sz w:val="28"/>
        </w:rPr>
        <w:lastRenderedPageBreak/>
        <w:t>населения и организаций в электроэнергии, поэтому формируемый энергетический кластер Чеченской Республики должен                                                                                                     включать генерацию электроэнергии, термальные и другие альтернативные источники энергий.</w:t>
      </w:r>
    </w:p>
    <w:p w:rsidR="00732B10" w:rsidRDefault="00732B10" w:rsidP="00732B10">
      <w:pPr>
        <w:shd w:val="clear" w:color="auto" w:fill="FFFFFF"/>
        <w:spacing w:before="100" w:beforeAutospacing="1" w:after="100" w:afterAutospacing="1" w:line="360" w:lineRule="auto"/>
        <w:jc w:val="both"/>
        <w:outlineLvl w:val="2"/>
        <w:rPr>
          <w:rFonts w:ascii="Times New Roman" w:eastAsia="Times New Roman" w:hAnsi="Times New Roman"/>
          <w:color w:val="000000"/>
          <w:sz w:val="28"/>
          <w:szCs w:val="28"/>
          <w:lang w:eastAsia="ru-RU"/>
        </w:rPr>
      </w:pPr>
      <w:r w:rsidRPr="0006293A">
        <w:rPr>
          <w:rFonts w:ascii="Times New Roman" w:eastAsia="Times New Roman" w:hAnsi="Times New Roman"/>
          <w:b/>
          <w:i/>
          <w:color w:val="000000"/>
          <w:sz w:val="28"/>
          <w:szCs w:val="28"/>
          <w:lang w:val="en-US" w:eastAsia="ru-RU"/>
        </w:rPr>
        <w:t>c</w:t>
      </w:r>
      <w:r w:rsidRPr="00157417">
        <w:rPr>
          <w:rFonts w:ascii="Times New Roman" w:eastAsia="Times New Roman" w:hAnsi="Times New Roman"/>
          <w:b/>
          <w:i/>
          <w:color w:val="000000"/>
          <w:sz w:val="28"/>
          <w:szCs w:val="28"/>
          <w:lang w:eastAsia="ru-RU"/>
        </w:rPr>
        <w:t>)</w:t>
      </w:r>
      <w:r w:rsidRPr="0006293A">
        <w:rPr>
          <w:rFonts w:ascii="Times New Roman" w:eastAsia="Times New Roman" w:hAnsi="Times New Roman"/>
          <w:b/>
          <w:i/>
          <w:color w:val="000000"/>
          <w:sz w:val="28"/>
          <w:szCs w:val="28"/>
          <w:lang w:eastAsia="ru-RU"/>
        </w:rPr>
        <w:t xml:space="preserve"> Строительный кластер.</w:t>
      </w:r>
      <w:r>
        <w:rPr>
          <w:rFonts w:ascii="Times New Roman" w:eastAsia="Times New Roman" w:hAnsi="Times New Roman"/>
          <w:b/>
          <w:color w:val="000000"/>
          <w:sz w:val="28"/>
          <w:szCs w:val="28"/>
          <w:lang w:eastAsia="ru-RU"/>
        </w:rPr>
        <w:t xml:space="preserve"> </w:t>
      </w:r>
      <w:r>
        <w:rPr>
          <w:rFonts w:ascii="Times New Roman" w:eastAsia="Times New Roman" w:hAnsi="Times New Roman"/>
          <w:color w:val="000000"/>
          <w:sz w:val="28"/>
          <w:szCs w:val="28"/>
          <w:lang w:eastAsia="ru-RU"/>
        </w:rPr>
        <w:t xml:space="preserve">Развитие территориальных кластеров в России является одним из условий повышения конкурентоспособности отечественной экономики и интенсификации механизмов </w:t>
      </w:r>
      <w:proofErr w:type="spellStart"/>
      <w:r>
        <w:rPr>
          <w:rFonts w:ascii="Times New Roman" w:eastAsia="Times New Roman" w:hAnsi="Times New Roman"/>
          <w:color w:val="000000"/>
          <w:sz w:val="28"/>
          <w:szCs w:val="28"/>
          <w:lang w:eastAsia="ru-RU"/>
        </w:rPr>
        <w:t>частно</w:t>
      </w:r>
      <w:proofErr w:type="spellEnd"/>
      <w:r>
        <w:rPr>
          <w:rFonts w:ascii="Times New Roman" w:eastAsia="Times New Roman" w:hAnsi="Times New Roman"/>
          <w:color w:val="000000"/>
          <w:sz w:val="28"/>
          <w:szCs w:val="28"/>
          <w:lang w:eastAsia="ru-RU"/>
        </w:rPr>
        <w:t xml:space="preserve">-государственного партнерства. Для этой цели </w:t>
      </w:r>
      <w:proofErr w:type="spellStart"/>
      <w:r>
        <w:rPr>
          <w:rFonts w:ascii="Times New Roman" w:eastAsia="Times New Roman" w:hAnsi="Times New Roman"/>
          <w:color w:val="000000"/>
          <w:sz w:val="28"/>
          <w:szCs w:val="28"/>
          <w:lang w:eastAsia="ru-RU"/>
        </w:rPr>
        <w:t>Минэкономразвитие</w:t>
      </w:r>
      <w:proofErr w:type="spellEnd"/>
      <w:r>
        <w:rPr>
          <w:rFonts w:ascii="Times New Roman" w:eastAsia="Times New Roman" w:hAnsi="Times New Roman"/>
          <w:color w:val="000000"/>
          <w:sz w:val="28"/>
          <w:szCs w:val="28"/>
          <w:lang w:eastAsia="ru-RU"/>
        </w:rPr>
        <w:t xml:space="preserve"> разработало Методические рекомендации по реализации кластерной политики в субъектах Российской Федерации. Строительный кластер для Чеченской Республики является необходимым  инструментом запуска инновационного развития строительной отрасли.  Инструментом запуска инновационного развития строительной отрасли Чеченской Республики является создание инновационного  строительного кластера республики, как управленческой конструкции. </w:t>
      </w:r>
    </w:p>
    <w:p w:rsidR="00732B10" w:rsidRPr="0019346D" w:rsidRDefault="00732B10" w:rsidP="00732B10">
      <w:pPr>
        <w:spacing w:line="360" w:lineRule="auto"/>
        <w:jc w:val="both"/>
        <w:rPr>
          <w:rFonts w:ascii="Times New Roman" w:hAnsi="Times New Roman"/>
          <w:sz w:val="28"/>
        </w:rPr>
      </w:pPr>
      <w:r w:rsidRPr="0006293A">
        <w:rPr>
          <w:rFonts w:ascii="Times New Roman" w:hAnsi="Times New Roman"/>
          <w:i/>
          <w:sz w:val="28"/>
          <w:lang w:val="en-US"/>
        </w:rPr>
        <w:t>d</w:t>
      </w:r>
      <w:r w:rsidRPr="00157417">
        <w:rPr>
          <w:rFonts w:ascii="Times New Roman" w:hAnsi="Times New Roman"/>
          <w:i/>
          <w:sz w:val="28"/>
        </w:rPr>
        <w:t>)</w:t>
      </w:r>
      <w:r w:rsidRPr="0006293A">
        <w:rPr>
          <w:rFonts w:ascii="Times New Roman" w:hAnsi="Times New Roman"/>
          <w:b/>
          <w:i/>
          <w:sz w:val="28"/>
        </w:rPr>
        <w:t xml:space="preserve"> Машиностроительный кластер.</w:t>
      </w:r>
      <w:r>
        <w:rPr>
          <w:rFonts w:ascii="Times New Roman" w:hAnsi="Times New Roman"/>
          <w:b/>
          <w:sz w:val="28"/>
        </w:rPr>
        <w:t xml:space="preserve"> </w:t>
      </w:r>
      <w:r>
        <w:rPr>
          <w:rFonts w:ascii="Times New Roman" w:eastAsia="Times New Roman" w:hAnsi="Times New Roman"/>
          <w:color w:val="3D3D3D"/>
          <w:sz w:val="28"/>
          <w:szCs w:val="21"/>
          <w:lang w:eastAsia="ru-RU"/>
        </w:rPr>
        <w:t xml:space="preserve">Географическое размещение машиностроительных предприятий обусловлено тремя факторами. Первый фактор – </w:t>
      </w:r>
      <w:proofErr w:type="spellStart"/>
      <w:r>
        <w:rPr>
          <w:rFonts w:ascii="Times New Roman" w:eastAsia="Times New Roman" w:hAnsi="Times New Roman"/>
          <w:color w:val="3D3D3D"/>
          <w:sz w:val="28"/>
          <w:szCs w:val="21"/>
          <w:lang w:eastAsia="ru-RU"/>
        </w:rPr>
        <w:t>наукоёмкость</w:t>
      </w:r>
      <w:proofErr w:type="spellEnd"/>
      <w:r>
        <w:rPr>
          <w:rFonts w:ascii="Times New Roman" w:eastAsia="Times New Roman" w:hAnsi="Times New Roman"/>
          <w:color w:val="3D3D3D"/>
          <w:sz w:val="28"/>
          <w:szCs w:val="21"/>
          <w:lang w:eastAsia="ru-RU"/>
        </w:rPr>
        <w:t xml:space="preserve"> (наличие НИИ, КБ и пр.). Второй фактор – металлоёмкость (потребление большого объёма цветных и черных металлов). Третий фактор – наличие рабочей силы с высокой квалификацией труда; трудоёмкость. Последний фактор, наличие трудовых ресурсов при относительной ограниченности сельскохозяйственных земель в республике актуализирует развитие инновационного машиностроительного кластера Чеченской Республики.  </w:t>
      </w:r>
    </w:p>
    <w:p w:rsidR="00732B10" w:rsidRDefault="00732B10" w:rsidP="00732B10">
      <w:pPr>
        <w:spacing w:line="360" w:lineRule="auto"/>
        <w:jc w:val="both"/>
        <w:rPr>
          <w:rFonts w:ascii="Times New Roman" w:eastAsia="Times New Roman" w:hAnsi="Times New Roman"/>
          <w:color w:val="3D3D3D"/>
          <w:sz w:val="28"/>
          <w:szCs w:val="21"/>
          <w:lang w:eastAsia="ru-RU"/>
        </w:rPr>
      </w:pPr>
      <w:r>
        <w:rPr>
          <w:rFonts w:ascii="Times New Roman" w:hAnsi="Times New Roman"/>
          <w:sz w:val="28"/>
        </w:rPr>
        <w:t xml:space="preserve">       Перспективными, с учетом наличия избыточных трудовых ресурсов и состояния научного потенциала Чеченской Республики, отраслями машиностроения являются:</w:t>
      </w:r>
    </w:p>
    <w:p w:rsidR="00732B10" w:rsidRDefault="00732B10" w:rsidP="00732B10">
      <w:pPr>
        <w:pStyle w:val="a4"/>
        <w:numPr>
          <w:ilvl w:val="0"/>
          <w:numId w:val="1"/>
        </w:numPr>
        <w:spacing w:line="360" w:lineRule="auto"/>
        <w:jc w:val="both"/>
        <w:rPr>
          <w:rFonts w:ascii="Times New Roman" w:hAnsi="Times New Roman"/>
          <w:sz w:val="28"/>
        </w:rPr>
      </w:pPr>
      <w:r>
        <w:rPr>
          <w:rFonts w:ascii="Times New Roman" w:hAnsi="Times New Roman"/>
          <w:sz w:val="28"/>
        </w:rPr>
        <w:lastRenderedPageBreak/>
        <w:t>Автомобильная промышленность (производство легкового и грузового транспорта) с полным циклом (включая, литейное производство, производство комплектующих и запасных частей);</w:t>
      </w:r>
    </w:p>
    <w:p w:rsidR="00732B10" w:rsidRDefault="00732B10" w:rsidP="00732B10">
      <w:pPr>
        <w:pStyle w:val="a4"/>
        <w:numPr>
          <w:ilvl w:val="0"/>
          <w:numId w:val="1"/>
        </w:numPr>
        <w:spacing w:line="360" w:lineRule="auto"/>
        <w:jc w:val="both"/>
        <w:rPr>
          <w:rFonts w:ascii="Times New Roman" w:hAnsi="Times New Roman"/>
          <w:sz w:val="28"/>
        </w:rPr>
      </w:pPr>
      <w:r>
        <w:rPr>
          <w:rFonts w:ascii="Times New Roman" w:hAnsi="Times New Roman"/>
          <w:sz w:val="28"/>
        </w:rPr>
        <w:t>Станкостроение (производство металлообрабатывающих и деревообрабатывающих станков, подъемно-транспортного оборудования и др.) с полным циклом (включая литейное производство, комплектующих и запасных частей);</w:t>
      </w:r>
    </w:p>
    <w:p w:rsidR="00732B10" w:rsidRDefault="00732B10" w:rsidP="00732B10">
      <w:pPr>
        <w:pStyle w:val="a4"/>
        <w:numPr>
          <w:ilvl w:val="0"/>
          <w:numId w:val="1"/>
        </w:numPr>
        <w:spacing w:line="360" w:lineRule="auto"/>
        <w:jc w:val="both"/>
        <w:rPr>
          <w:rFonts w:ascii="Times New Roman" w:hAnsi="Times New Roman"/>
          <w:sz w:val="28"/>
        </w:rPr>
      </w:pPr>
      <w:r>
        <w:rPr>
          <w:rFonts w:ascii="Times New Roman" w:hAnsi="Times New Roman"/>
          <w:sz w:val="28"/>
        </w:rPr>
        <w:t>Приборостроение, радиотехническое и электронное машиностроение (производство приборов, компьютеров, лазеров и др.).</w:t>
      </w:r>
    </w:p>
    <w:p w:rsidR="00732B10" w:rsidRPr="009E5ABE" w:rsidRDefault="00732B10" w:rsidP="00732B10">
      <w:pPr>
        <w:spacing w:line="360" w:lineRule="auto"/>
        <w:jc w:val="both"/>
        <w:rPr>
          <w:rFonts w:ascii="Times New Roman" w:hAnsi="Times New Roman"/>
          <w:b/>
          <w:sz w:val="28"/>
        </w:rPr>
      </w:pPr>
      <w:r w:rsidRPr="0006293A">
        <w:rPr>
          <w:rFonts w:ascii="Times New Roman" w:hAnsi="Times New Roman"/>
          <w:b/>
          <w:i/>
          <w:sz w:val="28"/>
          <w:lang w:val="en-US"/>
        </w:rPr>
        <w:t>e</w:t>
      </w:r>
      <w:r w:rsidRPr="00157417">
        <w:rPr>
          <w:rFonts w:ascii="Times New Roman" w:hAnsi="Times New Roman"/>
          <w:b/>
          <w:i/>
          <w:sz w:val="28"/>
        </w:rPr>
        <w:t>)</w:t>
      </w:r>
      <w:r w:rsidRPr="0006293A">
        <w:rPr>
          <w:rFonts w:ascii="Times New Roman" w:hAnsi="Times New Roman"/>
          <w:b/>
          <w:i/>
          <w:sz w:val="28"/>
        </w:rPr>
        <w:t xml:space="preserve"> Агропромышленный кластер.</w:t>
      </w:r>
      <w:r>
        <w:rPr>
          <w:rFonts w:ascii="Times New Roman" w:hAnsi="Times New Roman"/>
          <w:b/>
          <w:sz w:val="28"/>
        </w:rPr>
        <w:t xml:space="preserve"> </w:t>
      </w:r>
      <w:r>
        <w:rPr>
          <w:rFonts w:ascii="Times New Roman" w:hAnsi="Times New Roman"/>
          <w:sz w:val="28"/>
        </w:rPr>
        <w:t>Агропромышленный кластер</w:t>
      </w:r>
      <w:r>
        <w:rPr>
          <w:rFonts w:ascii="Times New Roman" w:hAnsi="Times New Roman"/>
          <w:b/>
          <w:sz w:val="28"/>
        </w:rPr>
        <w:t xml:space="preserve"> </w:t>
      </w:r>
      <w:r>
        <w:rPr>
          <w:rFonts w:ascii="Times New Roman" w:hAnsi="Times New Roman"/>
          <w:sz w:val="28"/>
        </w:rPr>
        <w:t>объединяет производство сельскохозяйственной продукции, ее переработку, производство экологически чистых продуктов питания, организацию дистрибуции и сбыта, разработку комплексных агрономических решений для сухостепных территорий, производство сельскохозяйственной техники, производство тары и упаковки, поставки минеральных удобрений, оборудования для пищевой промышленности и ингредиентов для продуктов питания и прочего. Малые и средние сельскохозяйственные и иные предприятия, объединенные в агропромышленный кластер, усиливают свою конкурентоспособность и позиционирование на товарном (продовольственном и ином) рынке.</w:t>
      </w:r>
    </w:p>
    <w:p w:rsidR="00732B10" w:rsidRPr="009E5ABE" w:rsidRDefault="00732B10" w:rsidP="00732B10">
      <w:pPr>
        <w:spacing w:line="360" w:lineRule="auto"/>
        <w:jc w:val="both"/>
        <w:rPr>
          <w:rFonts w:ascii="Times New Roman" w:hAnsi="Times New Roman"/>
          <w:b/>
          <w:sz w:val="28"/>
        </w:rPr>
      </w:pPr>
      <w:r w:rsidRPr="0006293A">
        <w:rPr>
          <w:rFonts w:ascii="Times New Roman" w:hAnsi="Times New Roman"/>
          <w:b/>
          <w:i/>
          <w:sz w:val="28"/>
          <w:lang w:val="en-US"/>
        </w:rPr>
        <w:t>f</w:t>
      </w:r>
      <w:r w:rsidRPr="0006293A">
        <w:rPr>
          <w:rFonts w:ascii="Times New Roman" w:hAnsi="Times New Roman"/>
          <w:b/>
          <w:i/>
          <w:sz w:val="28"/>
        </w:rPr>
        <w:t>) Кластер туризма и гостеприимства.</w:t>
      </w:r>
      <w:r>
        <w:rPr>
          <w:rFonts w:ascii="Times New Roman" w:hAnsi="Times New Roman"/>
          <w:b/>
          <w:sz w:val="28"/>
        </w:rPr>
        <w:t xml:space="preserve"> </w:t>
      </w:r>
      <w:r>
        <w:rPr>
          <w:rFonts w:ascii="Times New Roman" w:hAnsi="Times New Roman"/>
          <w:sz w:val="28"/>
        </w:rPr>
        <w:t>Индустрия туризма и гостеприимства считается комплексообразующей отраслью, основанной на интегрированном использовании всего экономического, культурного и природного потенциала территории.</w:t>
      </w:r>
      <w:r>
        <w:rPr>
          <w:rFonts w:ascii="Times New Roman" w:hAnsi="Times New Roman"/>
          <w:b/>
          <w:sz w:val="28"/>
        </w:rPr>
        <w:t xml:space="preserve"> </w:t>
      </w:r>
      <w:r>
        <w:rPr>
          <w:rFonts w:ascii="Times New Roman" w:hAnsi="Times New Roman"/>
          <w:sz w:val="28"/>
        </w:rPr>
        <w:t xml:space="preserve">Перспективными сегментами туристического рынка являются: </w:t>
      </w:r>
      <w:r w:rsidRPr="009E5ABE">
        <w:rPr>
          <w:rFonts w:ascii="Times New Roman" w:hAnsi="Times New Roman"/>
          <w:sz w:val="28"/>
        </w:rPr>
        <w:t xml:space="preserve">экологический; культурно-познавательный; </w:t>
      </w:r>
      <w:r>
        <w:rPr>
          <w:rFonts w:ascii="Times New Roman" w:hAnsi="Times New Roman"/>
          <w:sz w:val="28"/>
        </w:rPr>
        <w:t xml:space="preserve"> </w:t>
      </w:r>
      <w:r w:rsidRPr="009E5ABE">
        <w:rPr>
          <w:rFonts w:ascii="Times New Roman" w:hAnsi="Times New Roman"/>
          <w:sz w:val="28"/>
        </w:rPr>
        <w:t>тематический или специализированный</w:t>
      </w:r>
      <w:r>
        <w:rPr>
          <w:rFonts w:ascii="Times New Roman" w:hAnsi="Times New Roman"/>
          <w:sz w:val="28"/>
        </w:rPr>
        <w:t>, а также</w:t>
      </w:r>
      <w:r w:rsidRPr="009E5ABE">
        <w:rPr>
          <w:rFonts w:ascii="Times New Roman" w:hAnsi="Times New Roman"/>
          <w:sz w:val="28"/>
        </w:rPr>
        <w:t xml:space="preserve"> круизный виды туризма.</w:t>
      </w:r>
      <w:r>
        <w:rPr>
          <w:rFonts w:ascii="Times New Roman" w:hAnsi="Times New Roman"/>
          <w:sz w:val="28"/>
        </w:rPr>
        <w:t xml:space="preserve"> Одной из основных тенденций развития туризма является сокращение времени, которое люди смогут выделять на отдых и путешествия при одновременном увеличении объема средств на эти цели. Следовательно, </w:t>
      </w:r>
      <w:r>
        <w:rPr>
          <w:rFonts w:ascii="Times New Roman" w:hAnsi="Times New Roman"/>
          <w:sz w:val="28"/>
        </w:rPr>
        <w:lastRenderedPageBreak/>
        <w:t xml:space="preserve">повышенным спросом будет пользоваться туристский продукт, предусматривающий максимум удовольствий и впечатлений за минимум времени. </w:t>
      </w:r>
    </w:p>
    <w:p w:rsidR="00732B10" w:rsidRDefault="00732B10" w:rsidP="00732B10">
      <w:pPr>
        <w:spacing w:line="360" w:lineRule="auto"/>
        <w:jc w:val="both"/>
        <w:rPr>
          <w:rFonts w:ascii="Times New Roman" w:eastAsia="Times New Roman" w:hAnsi="Times New Roman"/>
          <w:color w:val="3D3D3D"/>
          <w:sz w:val="28"/>
          <w:szCs w:val="21"/>
          <w:lang w:eastAsia="ru-RU"/>
        </w:rPr>
      </w:pPr>
      <w:r>
        <w:rPr>
          <w:rFonts w:ascii="Times New Roman" w:eastAsia="Times New Roman" w:hAnsi="Times New Roman"/>
          <w:color w:val="3D3D3D"/>
          <w:sz w:val="28"/>
          <w:szCs w:val="21"/>
          <w:lang w:eastAsia="ru-RU"/>
        </w:rPr>
        <w:t xml:space="preserve">      Чеченская Республика обладает значительным природным и историко-культурным туристским потенциалом. Регион отличается уникальностью имеющихся архитектурных и археологических памятников, а также возможностями по размещению спортивных и оздоровительных комплексов.      </w:t>
      </w:r>
      <w:r>
        <w:rPr>
          <w:rFonts w:ascii="Times New Roman" w:hAnsi="Times New Roman"/>
          <w:sz w:val="28"/>
        </w:rPr>
        <w:t xml:space="preserve">Поэтому создание в Чеченской Республике инновационного гостиничного и оздоровительного кластера позволит с одной стороны использовать географические преимущества (транспортное плечо и транспортная доступность), а с другой – создать дополнительные рабочие места по всем туристическим маршрутам на территории Чеченской Республики. </w:t>
      </w:r>
    </w:p>
    <w:p w:rsidR="00732B10" w:rsidRDefault="00732B10" w:rsidP="00732B10">
      <w:pPr>
        <w:spacing w:line="360" w:lineRule="auto"/>
        <w:jc w:val="both"/>
        <w:rPr>
          <w:rFonts w:ascii="Times New Roman" w:hAnsi="Times New Roman"/>
          <w:sz w:val="28"/>
        </w:rPr>
      </w:pPr>
      <w:r w:rsidRPr="0006293A">
        <w:rPr>
          <w:rFonts w:ascii="Times New Roman" w:hAnsi="Times New Roman"/>
          <w:b/>
          <w:i/>
          <w:sz w:val="28"/>
          <w:lang w:val="en-US"/>
        </w:rPr>
        <w:t>g</w:t>
      </w:r>
      <w:r w:rsidRPr="00157417">
        <w:rPr>
          <w:rFonts w:ascii="Times New Roman" w:hAnsi="Times New Roman"/>
          <w:b/>
          <w:i/>
          <w:sz w:val="28"/>
        </w:rPr>
        <w:t>)</w:t>
      </w:r>
      <w:r w:rsidRPr="0006293A">
        <w:rPr>
          <w:rFonts w:ascii="Times New Roman" w:hAnsi="Times New Roman"/>
          <w:b/>
          <w:i/>
          <w:sz w:val="28"/>
        </w:rPr>
        <w:t xml:space="preserve"> Финансовая инфраструктура.</w:t>
      </w:r>
      <w:r>
        <w:rPr>
          <w:rFonts w:ascii="Times New Roman" w:hAnsi="Times New Roman"/>
          <w:b/>
          <w:sz w:val="28"/>
        </w:rPr>
        <w:t xml:space="preserve"> </w:t>
      </w:r>
      <w:r>
        <w:rPr>
          <w:rFonts w:ascii="Times New Roman" w:hAnsi="Times New Roman"/>
          <w:sz w:val="28"/>
        </w:rPr>
        <w:t>Ключевую роль в обеспечении сбалансированного развития национальной экономики играет финансовая инфраструктура. К институтам финансовой инфраструктуры относятся  банки и другие кредитные организации, лизинговые, страховые и прочие финансовые компании. Базовыми секторами финансовой инфраструктуры являются рынок банковских услуг,  рынок страховых услуг и фондовый рынок.</w:t>
      </w:r>
    </w:p>
    <w:p w:rsidR="00732B10" w:rsidRDefault="00732B10" w:rsidP="00732B10">
      <w:pPr>
        <w:spacing w:line="360" w:lineRule="auto"/>
        <w:jc w:val="both"/>
        <w:rPr>
          <w:rFonts w:ascii="Times New Roman" w:hAnsi="Times New Roman"/>
          <w:sz w:val="28"/>
        </w:rPr>
      </w:pPr>
      <w:r>
        <w:rPr>
          <w:rFonts w:ascii="Times New Roman" w:hAnsi="Times New Roman"/>
          <w:sz w:val="28"/>
        </w:rPr>
        <w:t xml:space="preserve">       В Чеченской Республике отсутствуют кредитные организации (банки и другие не банковские кредитные организации), страховые организации (включая страхового брокера), депозитарии, управляющие компании и брокерские (дилерские) конторы с головным офисом на территории республики. На территории республики функционируют лишь филиалы, дополнительные офисы (операционные офисы) и представительства </w:t>
      </w:r>
      <w:proofErr w:type="spellStart"/>
      <w:r>
        <w:rPr>
          <w:rFonts w:ascii="Times New Roman" w:hAnsi="Times New Roman"/>
          <w:sz w:val="28"/>
        </w:rPr>
        <w:t>инорегиональных</w:t>
      </w:r>
      <w:proofErr w:type="spellEnd"/>
      <w:r>
        <w:rPr>
          <w:rFonts w:ascii="Times New Roman" w:hAnsi="Times New Roman"/>
          <w:sz w:val="28"/>
        </w:rPr>
        <w:t xml:space="preserve"> кредитных, страховых и иных институтов финансового рынка. Отсутствие полноценных институтов финансового рынка негативно сказывается как на состоянии конкурентной среды, так и ограниченных  </w:t>
      </w:r>
      <w:r>
        <w:rPr>
          <w:rFonts w:ascii="Times New Roman" w:hAnsi="Times New Roman"/>
          <w:sz w:val="28"/>
        </w:rPr>
        <w:lastRenderedPageBreak/>
        <w:t>возможностях финансового рынка Чеченской Республики в части мобилизации финансовых ресурсов на развитие региональной экономики.</w:t>
      </w:r>
    </w:p>
    <w:p w:rsidR="00732B10" w:rsidRDefault="00732B10" w:rsidP="00732B10">
      <w:pPr>
        <w:spacing w:line="360" w:lineRule="auto"/>
        <w:jc w:val="both"/>
        <w:rPr>
          <w:rFonts w:ascii="Times New Roman" w:hAnsi="Times New Roman"/>
          <w:sz w:val="28"/>
        </w:rPr>
      </w:pPr>
      <w:r>
        <w:rPr>
          <w:rFonts w:ascii="Times New Roman" w:hAnsi="Times New Roman"/>
          <w:sz w:val="28"/>
        </w:rPr>
        <w:t xml:space="preserve">      Учитывая то обстоятельство, что институты финансового рынка сегодня в России осуществляют свою профильную деятельность на основе лицензий Центрального банка Российской Федерации существуют определенные трудности в создании этих институтов. В частности, лицензионные требования </w:t>
      </w:r>
      <w:proofErr w:type="spellStart"/>
      <w:r>
        <w:rPr>
          <w:rFonts w:ascii="Times New Roman" w:hAnsi="Times New Roman"/>
          <w:sz w:val="28"/>
        </w:rPr>
        <w:t>мегарегулятора</w:t>
      </w:r>
      <w:proofErr w:type="spellEnd"/>
      <w:r>
        <w:rPr>
          <w:rFonts w:ascii="Times New Roman" w:hAnsi="Times New Roman"/>
          <w:sz w:val="28"/>
        </w:rPr>
        <w:t xml:space="preserve"> касаются и размера уставного капитала  для вновь создаваемых структур и собственного капитала для действующих. Поэтому существуют определенные трудности для многих регионов страны в создании «своих» региональных институтов рынков банковских и страховых услуг, а также рынка ценных бумаг.</w:t>
      </w:r>
    </w:p>
    <w:p w:rsidR="00732B10" w:rsidRDefault="00732B10" w:rsidP="00732B10">
      <w:pPr>
        <w:spacing w:line="360" w:lineRule="auto"/>
        <w:jc w:val="both"/>
        <w:rPr>
          <w:rFonts w:ascii="Times New Roman" w:hAnsi="Times New Roman"/>
          <w:sz w:val="28"/>
        </w:rPr>
      </w:pPr>
      <w:r>
        <w:rPr>
          <w:rFonts w:ascii="Times New Roman" w:hAnsi="Times New Roman"/>
          <w:sz w:val="28"/>
        </w:rPr>
        <w:t xml:space="preserve">       Министерством финансов Чеченской Республики в ноябре 2013 года инициирован инвестиционный проект создания страховой компании с головным офисом на территории республики. Трудности формирования уставного капитала ЗАО «Чеченская страховая компания» привели к необходимости пересмотра первоначальной концепции и трансформации ЗАО «Чеченская страховая компания» в ОАО «Чеченская национальная страховая компания». Сегодня Правительством Чеченской Республики предпринимаются усилия по формированию учредительного договора. Проблема – отсутствие финансово состоятельных организаций, соответствующих требованиям Центрального Банка РФ. Другая проблема – низкий уровень финансовой грамотности населения республики сказывается на их низкой активности в подписке на акции ОАО «Чеченская национальная страховая компания». Вторым этапом в развитии финансовой инфраструктуры Чеченской Республики является реализация инвестиционного проекта по созданию кредитной организации с головным офисом на территории республики.  Третьим этапом в развитии финансовой инфраструктуры республики является реализация инвестиционных проектов по созданию депозитария, управляющей компании и брокерской компании.</w:t>
      </w:r>
    </w:p>
    <w:p w:rsidR="00D111B9" w:rsidRDefault="00732B10" w:rsidP="00732B10">
      <w:pPr>
        <w:spacing w:line="360" w:lineRule="auto"/>
        <w:jc w:val="both"/>
        <w:rPr>
          <w:rFonts w:ascii="Times New Roman" w:hAnsi="Times New Roman"/>
          <w:sz w:val="28"/>
        </w:rPr>
      </w:pPr>
      <w:r>
        <w:rPr>
          <w:rFonts w:ascii="Times New Roman" w:hAnsi="Times New Roman"/>
          <w:sz w:val="28"/>
        </w:rPr>
        <w:lastRenderedPageBreak/>
        <w:t xml:space="preserve">      Для того чтобы в Чеченской Республике сформировались и функционировали отмеченные кластеры рекомендуются следующие механизмы: </w:t>
      </w:r>
    </w:p>
    <w:p w:rsidR="00D111B9" w:rsidRDefault="00732B10" w:rsidP="00D111B9">
      <w:pPr>
        <w:pStyle w:val="a4"/>
        <w:numPr>
          <w:ilvl w:val="0"/>
          <w:numId w:val="4"/>
        </w:numPr>
        <w:spacing w:line="360" w:lineRule="auto"/>
        <w:jc w:val="both"/>
        <w:rPr>
          <w:rFonts w:ascii="Times New Roman" w:hAnsi="Times New Roman"/>
          <w:sz w:val="28"/>
        </w:rPr>
      </w:pPr>
      <w:r w:rsidRPr="00D111B9">
        <w:rPr>
          <w:rFonts w:ascii="Times New Roman" w:hAnsi="Times New Roman"/>
          <w:sz w:val="28"/>
        </w:rPr>
        <w:t xml:space="preserve">конкурсное субсидирование кластерных инициатив;  </w:t>
      </w:r>
    </w:p>
    <w:p w:rsidR="00D111B9" w:rsidRPr="00D111B9" w:rsidRDefault="00732B10" w:rsidP="00D111B9">
      <w:pPr>
        <w:pStyle w:val="a4"/>
        <w:numPr>
          <w:ilvl w:val="0"/>
          <w:numId w:val="4"/>
        </w:numPr>
        <w:spacing w:line="360" w:lineRule="auto"/>
        <w:jc w:val="both"/>
        <w:rPr>
          <w:rFonts w:ascii="Times New Roman" w:hAnsi="Times New Roman"/>
          <w:sz w:val="28"/>
        </w:rPr>
      </w:pPr>
      <w:r w:rsidRPr="00D111B9">
        <w:rPr>
          <w:rFonts w:ascii="Times New Roman" w:hAnsi="Times New Roman"/>
          <w:sz w:val="28"/>
        </w:rPr>
        <w:t xml:space="preserve">льготы по региональным налогам; </w:t>
      </w:r>
    </w:p>
    <w:p w:rsidR="00D111B9" w:rsidRPr="00D111B9" w:rsidRDefault="00732B10" w:rsidP="00D111B9">
      <w:pPr>
        <w:pStyle w:val="a4"/>
        <w:numPr>
          <w:ilvl w:val="0"/>
          <w:numId w:val="4"/>
        </w:numPr>
        <w:spacing w:line="360" w:lineRule="auto"/>
        <w:jc w:val="both"/>
        <w:rPr>
          <w:rFonts w:ascii="Times New Roman" w:hAnsi="Times New Roman"/>
          <w:sz w:val="28"/>
        </w:rPr>
      </w:pPr>
      <w:proofErr w:type="spellStart"/>
      <w:r w:rsidRPr="00D111B9">
        <w:rPr>
          <w:rFonts w:ascii="Times New Roman" w:hAnsi="Times New Roman"/>
          <w:sz w:val="28"/>
        </w:rPr>
        <w:t>соинвестирование</w:t>
      </w:r>
      <w:proofErr w:type="spellEnd"/>
      <w:r w:rsidRPr="00D111B9">
        <w:rPr>
          <w:rFonts w:ascii="Times New Roman" w:hAnsi="Times New Roman"/>
          <w:sz w:val="28"/>
        </w:rPr>
        <w:t xml:space="preserve"> строительства необходимой инженерной инфраструктуры; </w:t>
      </w:r>
    </w:p>
    <w:p w:rsidR="00732B10" w:rsidRPr="00D111B9" w:rsidRDefault="00732B10" w:rsidP="00D111B9">
      <w:pPr>
        <w:pStyle w:val="a4"/>
        <w:numPr>
          <w:ilvl w:val="0"/>
          <w:numId w:val="4"/>
        </w:numPr>
        <w:spacing w:line="360" w:lineRule="auto"/>
        <w:jc w:val="both"/>
        <w:rPr>
          <w:rFonts w:ascii="Times New Roman" w:hAnsi="Times New Roman"/>
          <w:sz w:val="28"/>
        </w:rPr>
      </w:pPr>
      <w:r w:rsidRPr="00D111B9">
        <w:rPr>
          <w:rFonts w:ascii="Times New Roman" w:hAnsi="Times New Roman"/>
          <w:sz w:val="28"/>
        </w:rPr>
        <w:t>создание промышленных парков, в которых стандартизированные производственные помещения сочетаются с офисами производственных компаний, а также фирм, оказывающих услуги бизнесу.</w:t>
      </w:r>
    </w:p>
    <w:p w:rsidR="00732B10" w:rsidRPr="000541AD" w:rsidRDefault="00732B10" w:rsidP="00732B10">
      <w:pPr>
        <w:spacing w:line="360" w:lineRule="auto"/>
        <w:jc w:val="both"/>
        <w:rPr>
          <w:rFonts w:ascii="Times New Roman" w:hAnsi="Times New Roman"/>
          <w:sz w:val="28"/>
          <w:szCs w:val="28"/>
        </w:rPr>
      </w:pPr>
      <w:r w:rsidRPr="00757EFB">
        <w:rPr>
          <w:rFonts w:ascii="Times New Roman" w:hAnsi="Times New Roman"/>
          <w:b/>
          <w:sz w:val="28"/>
          <w:szCs w:val="28"/>
        </w:rPr>
        <w:t>3.1.</w:t>
      </w:r>
      <w:r>
        <w:rPr>
          <w:rFonts w:ascii="Times New Roman" w:hAnsi="Times New Roman"/>
          <w:b/>
          <w:sz w:val="28"/>
          <w:szCs w:val="28"/>
        </w:rPr>
        <w:t xml:space="preserve"> </w:t>
      </w:r>
      <w:r w:rsidRPr="00EA42AC">
        <w:rPr>
          <w:rFonts w:ascii="Times New Roman" w:hAnsi="Times New Roman"/>
          <w:b/>
          <w:sz w:val="28"/>
          <w:szCs w:val="28"/>
        </w:rPr>
        <w:t>Меры финансового обеспечени</w:t>
      </w:r>
      <w:r>
        <w:rPr>
          <w:rFonts w:ascii="Times New Roman" w:hAnsi="Times New Roman"/>
          <w:b/>
          <w:sz w:val="28"/>
          <w:szCs w:val="28"/>
        </w:rPr>
        <w:t xml:space="preserve">я развития экономики республики. </w:t>
      </w:r>
      <w:r w:rsidRPr="000541AD">
        <w:rPr>
          <w:rFonts w:ascii="Times New Roman" w:hAnsi="Times New Roman"/>
          <w:sz w:val="28"/>
          <w:szCs w:val="28"/>
        </w:rPr>
        <w:t xml:space="preserve">Чеченская Республика занимает 70 место среди субъектов РФ по показателю объема ВРП </w:t>
      </w:r>
      <w:r>
        <w:rPr>
          <w:rFonts w:ascii="Times New Roman" w:hAnsi="Times New Roman"/>
          <w:sz w:val="28"/>
          <w:szCs w:val="28"/>
        </w:rPr>
        <w:t xml:space="preserve">(103,7 млрд. руб. – за 20121 г.) </w:t>
      </w:r>
      <w:r w:rsidRPr="000541AD">
        <w:rPr>
          <w:rFonts w:ascii="Times New Roman" w:hAnsi="Times New Roman"/>
          <w:sz w:val="28"/>
          <w:szCs w:val="28"/>
        </w:rPr>
        <w:t>и четвертое место</w:t>
      </w:r>
      <w:r>
        <w:rPr>
          <w:rFonts w:ascii="Times New Roman" w:hAnsi="Times New Roman"/>
          <w:sz w:val="28"/>
          <w:szCs w:val="28"/>
        </w:rPr>
        <w:t xml:space="preserve"> среди регионов СКФО.  </w:t>
      </w:r>
      <w:r w:rsidRPr="000541AD">
        <w:rPr>
          <w:rFonts w:ascii="Times New Roman" w:hAnsi="Times New Roman"/>
          <w:sz w:val="28"/>
          <w:szCs w:val="28"/>
        </w:rPr>
        <w:t xml:space="preserve">Если оценивать </w:t>
      </w:r>
      <w:r>
        <w:rPr>
          <w:rFonts w:ascii="Times New Roman" w:hAnsi="Times New Roman"/>
          <w:sz w:val="28"/>
          <w:szCs w:val="28"/>
        </w:rPr>
        <w:t>производство</w:t>
      </w:r>
      <w:r w:rsidRPr="000541AD">
        <w:rPr>
          <w:rFonts w:ascii="Times New Roman" w:hAnsi="Times New Roman"/>
          <w:sz w:val="28"/>
          <w:szCs w:val="28"/>
        </w:rPr>
        <w:t xml:space="preserve"> ВРП на душу населения</w:t>
      </w:r>
      <w:r>
        <w:rPr>
          <w:rFonts w:ascii="Times New Roman" w:hAnsi="Times New Roman"/>
          <w:sz w:val="28"/>
          <w:szCs w:val="28"/>
        </w:rPr>
        <w:t>,</w:t>
      </w:r>
      <w:r w:rsidRPr="000541AD">
        <w:rPr>
          <w:rFonts w:ascii="Times New Roman" w:hAnsi="Times New Roman"/>
          <w:sz w:val="28"/>
          <w:szCs w:val="28"/>
        </w:rPr>
        <w:t xml:space="preserve"> то Чеченская Республика занимает уже 80 место среди субъектов РФ и последнее (седьмое) место среди субъектов СКФО, отставая по итогам 2012 г. от среднероссийского показателя в 4,4 раза и в 1,6 раза</w:t>
      </w:r>
      <w:r>
        <w:rPr>
          <w:rFonts w:ascii="Times New Roman" w:hAnsi="Times New Roman"/>
          <w:sz w:val="28"/>
          <w:szCs w:val="28"/>
        </w:rPr>
        <w:t xml:space="preserve"> от уровня СКФО. </w:t>
      </w:r>
      <w:r w:rsidRPr="000541AD">
        <w:rPr>
          <w:rFonts w:ascii="Times New Roman" w:hAnsi="Times New Roman"/>
          <w:sz w:val="28"/>
          <w:szCs w:val="28"/>
        </w:rPr>
        <w:t xml:space="preserve"> </w:t>
      </w:r>
    </w:p>
    <w:p w:rsidR="00732B10" w:rsidRPr="00827ABD" w:rsidRDefault="00732B10" w:rsidP="00732B10">
      <w:pPr>
        <w:spacing w:line="360" w:lineRule="auto"/>
        <w:jc w:val="both"/>
        <w:rPr>
          <w:rFonts w:ascii="Times New Roman" w:hAnsi="Times New Roman"/>
          <w:sz w:val="28"/>
          <w:szCs w:val="28"/>
        </w:rPr>
      </w:pPr>
      <w:r w:rsidRPr="000541AD">
        <w:rPr>
          <w:rFonts w:ascii="Times New Roman" w:hAnsi="Times New Roman"/>
          <w:sz w:val="28"/>
          <w:szCs w:val="28"/>
        </w:rPr>
        <w:t xml:space="preserve">         В структуре ВРП Чеченской Республики в 2012 году по видам экономической деятельности на долю фина</w:t>
      </w:r>
      <w:r>
        <w:rPr>
          <w:rFonts w:ascii="Times New Roman" w:hAnsi="Times New Roman"/>
          <w:sz w:val="28"/>
          <w:szCs w:val="28"/>
        </w:rPr>
        <w:t>нсовой деятельности приходилось.  Ф</w:t>
      </w:r>
      <w:r w:rsidRPr="00827ABD">
        <w:rPr>
          <w:rFonts w:ascii="Times New Roman" w:hAnsi="Times New Roman"/>
          <w:sz w:val="28"/>
          <w:szCs w:val="28"/>
        </w:rPr>
        <w:t xml:space="preserve">инансовая система Чеченской Республики характеризуется: </w:t>
      </w:r>
    </w:p>
    <w:p w:rsidR="00732B10" w:rsidRPr="00827ABD" w:rsidRDefault="00732B10" w:rsidP="00732B10">
      <w:pPr>
        <w:pStyle w:val="a4"/>
        <w:numPr>
          <w:ilvl w:val="0"/>
          <w:numId w:val="2"/>
        </w:numPr>
        <w:spacing w:line="360" w:lineRule="auto"/>
        <w:jc w:val="both"/>
        <w:rPr>
          <w:rFonts w:ascii="Times New Roman" w:hAnsi="Times New Roman"/>
          <w:sz w:val="28"/>
          <w:szCs w:val="28"/>
        </w:rPr>
      </w:pPr>
      <w:r w:rsidRPr="00827ABD">
        <w:rPr>
          <w:rFonts w:ascii="Times New Roman" w:hAnsi="Times New Roman"/>
          <w:sz w:val="28"/>
          <w:szCs w:val="28"/>
        </w:rPr>
        <w:t>дефицит</w:t>
      </w:r>
      <w:r>
        <w:rPr>
          <w:rFonts w:ascii="Times New Roman" w:hAnsi="Times New Roman"/>
          <w:sz w:val="28"/>
          <w:szCs w:val="28"/>
        </w:rPr>
        <w:t>ом капитала во всех ее секторах;</w:t>
      </w:r>
      <w:r w:rsidRPr="00827ABD">
        <w:rPr>
          <w:rFonts w:ascii="Times New Roman" w:hAnsi="Times New Roman"/>
          <w:sz w:val="28"/>
          <w:szCs w:val="28"/>
        </w:rPr>
        <w:t xml:space="preserve"> </w:t>
      </w:r>
    </w:p>
    <w:p w:rsidR="00732B10" w:rsidRPr="00827ABD" w:rsidRDefault="00732B10" w:rsidP="00732B10">
      <w:pPr>
        <w:pStyle w:val="a4"/>
        <w:numPr>
          <w:ilvl w:val="0"/>
          <w:numId w:val="2"/>
        </w:numPr>
        <w:spacing w:line="360" w:lineRule="auto"/>
        <w:jc w:val="both"/>
        <w:rPr>
          <w:rFonts w:ascii="Times New Roman" w:hAnsi="Times New Roman"/>
          <w:sz w:val="28"/>
          <w:szCs w:val="28"/>
        </w:rPr>
      </w:pPr>
      <w:r w:rsidRPr="00827ABD">
        <w:rPr>
          <w:rFonts w:ascii="Times New Roman" w:hAnsi="Times New Roman"/>
          <w:sz w:val="28"/>
          <w:szCs w:val="28"/>
        </w:rPr>
        <w:t>отсутствием собственных региональных институтов (банков, страховых организаций, управляющих компаний, брокерских и дилерских контор, депозит</w:t>
      </w:r>
      <w:r>
        <w:rPr>
          <w:rFonts w:ascii="Times New Roman" w:hAnsi="Times New Roman"/>
          <w:sz w:val="28"/>
          <w:szCs w:val="28"/>
        </w:rPr>
        <w:t>ария и т.д.);</w:t>
      </w:r>
      <w:r w:rsidRPr="00827ABD">
        <w:rPr>
          <w:rFonts w:ascii="Times New Roman" w:hAnsi="Times New Roman"/>
          <w:sz w:val="28"/>
          <w:szCs w:val="28"/>
        </w:rPr>
        <w:t xml:space="preserve"> </w:t>
      </w:r>
    </w:p>
    <w:p w:rsidR="00732B10" w:rsidRPr="00827ABD" w:rsidRDefault="00732B10" w:rsidP="00732B10">
      <w:pPr>
        <w:pStyle w:val="a4"/>
        <w:numPr>
          <w:ilvl w:val="0"/>
          <w:numId w:val="2"/>
        </w:numPr>
        <w:spacing w:line="360" w:lineRule="auto"/>
        <w:jc w:val="both"/>
        <w:rPr>
          <w:rFonts w:ascii="Times New Roman" w:hAnsi="Times New Roman"/>
          <w:sz w:val="28"/>
          <w:szCs w:val="28"/>
        </w:rPr>
      </w:pPr>
      <w:r w:rsidRPr="00827ABD">
        <w:rPr>
          <w:rFonts w:ascii="Times New Roman" w:hAnsi="Times New Roman"/>
          <w:sz w:val="28"/>
          <w:szCs w:val="28"/>
        </w:rPr>
        <w:t>низким уровнем к</w:t>
      </w:r>
      <w:r>
        <w:rPr>
          <w:rFonts w:ascii="Times New Roman" w:hAnsi="Times New Roman"/>
          <w:sz w:val="28"/>
          <w:szCs w:val="28"/>
        </w:rPr>
        <w:t>онкуренции в банковском секторе;</w:t>
      </w:r>
      <w:r w:rsidRPr="00827ABD">
        <w:rPr>
          <w:rFonts w:ascii="Times New Roman" w:hAnsi="Times New Roman"/>
          <w:sz w:val="28"/>
          <w:szCs w:val="28"/>
        </w:rPr>
        <w:t xml:space="preserve"> </w:t>
      </w:r>
    </w:p>
    <w:p w:rsidR="00732B10" w:rsidRPr="00827ABD" w:rsidRDefault="00732B10" w:rsidP="00732B10">
      <w:pPr>
        <w:pStyle w:val="a4"/>
        <w:numPr>
          <w:ilvl w:val="0"/>
          <w:numId w:val="2"/>
        </w:numPr>
        <w:spacing w:line="360" w:lineRule="auto"/>
        <w:jc w:val="both"/>
        <w:rPr>
          <w:rFonts w:ascii="Times New Roman" w:hAnsi="Times New Roman"/>
          <w:sz w:val="28"/>
          <w:szCs w:val="28"/>
        </w:rPr>
      </w:pPr>
      <w:r w:rsidRPr="00827ABD">
        <w:rPr>
          <w:rFonts w:ascii="Times New Roman" w:hAnsi="Times New Roman"/>
          <w:sz w:val="28"/>
          <w:szCs w:val="28"/>
        </w:rPr>
        <w:t>неразвитостью страхового рынка</w:t>
      </w:r>
      <w:r>
        <w:rPr>
          <w:rFonts w:ascii="Times New Roman" w:hAnsi="Times New Roman"/>
          <w:sz w:val="28"/>
          <w:szCs w:val="28"/>
        </w:rPr>
        <w:t>;</w:t>
      </w:r>
      <w:r w:rsidRPr="00827ABD">
        <w:rPr>
          <w:rFonts w:ascii="Times New Roman" w:hAnsi="Times New Roman"/>
          <w:sz w:val="28"/>
          <w:szCs w:val="28"/>
        </w:rPr>
        <w:t xml:space="preserve"> </w:t>
      </w:r>
    </w:p>
    <w:p w:rsidR="00732B10" w:rsidRPr="00827ABD" w:rsidRDefault="00732B10" w:rsidP="00732B10">
      <w:pPr>
        <w:pStyle w:val="a4"/>
        <w:numPr>
          <w:ilvl w:val="0"/>
          <w:numId w:val="2"/>
        </w:numPr>
        <w:spacing w:line="360" w:lineRule="auto"/>
        <w:jc w:val="both"/>
        <w:rPr>
          <w:rFonts w:ascii="Times New Roman" w:hAnsi="Times New Roman"/>
          <w:sz w:val="28"/>
          <w:szCs w:val="28"/>
        </w:rPr>
      </w:pPr>
      <w:r w:rsidRPr="00827ABD">
        <w:rPr>
          <w:rFonts w:ascii="Times New Roman" w:hAnsi="Times New Roman"/>
          <w:sz w:val="28"/>
          <w:szCs w:val="28"/>
        </w:rPr>
        <w:t xml:space="preserve">и практически отсутствием фондового рынка. </w:t>
      </w:r>
    </w:p>
    <w:p w:rsidR="00732B10" w:rsidRPr="000541AD" w:rsidRDefault="00732B10" w:rsidP="00732B10">
      <w:pPr>
        <w:spacing w:line="360" w:lineRule="auto"/>
        <w:jc w:val="both"/>
        <w:rPr>
          <w:rFonts w:ascii="Times New Roman" w:hAnsi="Times New Roman"/>
          <w:sz w:val="28"/>
          <w:szCs w:val="28"/>
        </w:rPr>
      </w:pPr>
      <w:r>
        <w:rPr>
          <w:rFonts w:ascii="Times New Roman" w:hAnsi="Times New Roman"/>
          <w:sz w:val="28"/>
          <w:szCs w:val="28"/>
        </w:rPr>
        <w:lastRenderedPageBreak/>
        <w:t xml:space="preserve">        Всё это</w:t>
      </w:r>
      <w:r w:rsidRPr="000541AD">
        <w:rPr>
          <w:rFonts w:ascii="Times New Roman" w:hAnsi="Times New Roman"/>
          <w:sz w:val="28"/>
          <w:szCs w:val="28"/>
        </w:rPr>
        <w:t xml:space="preserve"> не позволяет инвестировать необходимые средства в развитие региональной экономики. Так, общий объем кредитов, выданных кредитными учреждениями, в 2012 г. составил 10 465 млн. руб., что составило всего 2,4% от выданных кредитов на территории субъектов СКФО, из которых 75,9% приходились на физических лиц и 24,1% на предпринимательский сегмент. Несмотря на ежегодное увеличение объемов кредитования, Чеченская Республика находится на последнем месте среди субъектов СКФО по размеру кредита на одного человека – 5 805 руб. по итогам 2012 г., что составило всего 28,7% от среднего показателя по СКФО и 11,7% от среднего показателя по России. Анализ структуры выданных на территории Чеченской Республики кредитов показал, что доля предпринимательского сегмента среди получателей в 2 раза ниже, чем в среднем по субъектам СКФО (56,3%) и в 3 раза ниже, чем в среднем по РФ (81,0%). Большая часть выданных кредитных средств в Чеченской Республике приходится на отрасль «Строительство», в то время, как по субъектам СКФО и РФ – на торговлю. Данная структура свидетельствует о привлечении заемных средств с целью восстановления основных производственных фондов республики. Из общего объема предоставленных кредитов физическим лицам на приобретение жилья было выдано 132,0 млн. руб. из них на долю ипотечных кредитов пришлось 1,4%. Данный показатель является самым низким в СКФО (13,5%) и существенно отстаёт от среднероссийского (14,9%). </w:t>
      </w:r>
    </w:p>
    <w:p w:rsidR="00732B10" w:rsidRPr="000541AD" w:rsidRDefault="00732B10" w:rsidP="00732B10">
      <w:pPr>
        <w:spacing w:line="360" w:lineRule="auto"/>
        <w:jc w:val="both"/>
        <w:rPr>
          <w:rFonts w:ascii="Times New Roman" w:hAnsi="Times New Roman"/>
          <w:sz w:val="28"/>
          <w:szCs w:val="28"/>
        </w:rPr>
      </w:pPr>
      <w:r w:rsidRPr="000541AD">
        <w:rPr>
          <w:rFonts w:ascii="Times New Roman" w:hAnsi="Times New Roman"/>
          <w:sz w:val="28"/>
          <w:szCs w:val="28"/>
        </w:rPr>
        <w:t xml:space="preserve">      Фондовый рынок Чеченской Республики в настоящее время крайне неразвит и по ограниченному кругу участников рынка, и по спектру обращаемых ценных бумаг. В республике нет должного взаимодействия между профессиональными участниками рынка ценных бумаг. Используется только один из видов государственных (федеральных) ценных бумаг – облигации государственного сберегательного займа. Рынок ценных бумаг в республике не выполняет своей главной задачи – перераспределение </w:t>
      </w:r>
      <w:r w:rsidRPr="000541AD">
        <w:rPr>
          <w:rFonts w:ascii="Times New Roman" w:hAnsi="Times New Roman"/>
          <w:sz w:val="28"/>
          <w:szCs w:val="28"/>
        </w:rPr>
        <w:lastRenderedPageBreak/>
        <w:t>капиталов в наиболее эффективные производства и привлечение инвестиций для развития предприятий. Отсутствует связь фондового рынка республики с реальным сектором экономики. Проблема заключается не в дефиците финансовых ресурсов для инвестиций, а в недостаточной мотивации инвестиционной деятельности, в том числе и при помощи инструментов фондового рынка.</w:t>
      </w:r>
    </w:p>
    <w:p w:rsidR="00732B10" w:rsidRDefault="00732B10" w:rsidP="00732B10">
      <w:pPr>
        <w:spacing w:line="360" w:lineRule="auto"/>
        <w:jc w:val="both"/>
        <w:rPr>
          <w:rFonts w:ascii="Times New Roman" w:hAnsi="Times New Roman"/>
          <w:sz w:val="28"/>
          <w:szCs w:val="28"/>
        </w:rPr>
      </w:pPr>
      <w:r w:rsidRPr="000541AD">
        <w:rPr>
          <w:rFonts w:ascii="Times New Roman" w:hAnsi="Times New Roman"/>
          <w:sz w:val="28"/>
          <w:szCs w:val="28"/>
        </w:rPr>
        <w:t xml:space="preserve">       В значительной степени такой низкий уровень кредитования организаций и населения в республике  и неразвитость фондового рынка объясняется состоянием регионального рынка страховых услуг. Поэтому сегодня уже для всех очевидна с одной стороны важность страхования в развитии финансового и реального секторов региональной экономики и с другой - значимость страхования в формировании  благоприятного инвестиционного климата в регионе. </w:t>
      </w:r>
    </w:p>
    <w:p w:rsidR="00732B10" w:rsidRPr="000541AD" w:rsidRDefault="00732B10" w:rsidP="00732B10">
      <w:pPr>
        <w:spacing w:line="360" w:lineRule="auto"/>
        <w:jc w:val="both"/>
        <w:rPr>
          <w:rFonts w:ascii="Times New Roman" w:hAnsi="Times New Roman"/>
          <w:sz w:val="28"/>
          <w:szCs w:val="28"/>
        </w:rPr>
      </w:pPr>
      <w:r>
        <w:rPr>
          <w:rFonts w:ascii="Times New Roman" w:hAnsi="Times New Roman"/>
          <w:sz w:val="28"/>
          <w:szCs w:val="28"/>
        </w:rPr>
        <w:t xml:space="preserve">       </w:t>
      </w:r>
      <w:r w:rsidRPr="000541AD">
        <w:rPr>
          <w:rFonts w:ascii="Times New Roman" w:hAnsi="Times New Roman"/>
          <w:sz w:val="28"/>
          <w:szCs w:val="28"/>
        </w:rPr>
        <w:t>В целях обеспечения благоприятного инвестиционного климата в регионе Агентством Стратегических Инициатив по продвижению новых проектов (АСИ) разр</w:t>
      </w:r>
      <w:r>
        <w:rPr>
          <w:rFonts w:ascii="Times New Roman" w:hAnsi="Times New Roman"/>
          <w:sz w:val="28"/>
          <w:szCs w:val="28"/>
        </w:rPr>
        <w:t>аботан соответствующий Стандарт</w:t>
      </w:r>
      <w:r w:rsidRPr="000541AD">
        <w:rPr>
          <w:rFonts w:ascii="Times New Roman" w:hAnsi="Times New Roman"/>
          <w:sz w:val="28"/>
          <w:szCs w:val="28"/>
        </w:rPr>
        <w:t xml:space="preserve">. Данный стандарт представляет собой минимальный набор требований, успешная реализация которых позволит увеличить приток инвестиций в регионы, сформировать инфраструктуру эффективной коммуникации между бизнесом и местными властями. </w:t>
      </w:r>
    </w:p>
    <w:p w:rsidR="00732B10" w:rsidRDefault="00732B10" w:rsidP="00732B10">
      <w:pPr>
        <w:spacing w:line="360" w:lineRule="auto"/>
        <w:jc w:val="both"/>
        <w:rPr>
          <w:rFonts w:ascii="Times New Roman" w:hAnsi="Times New Roman"/>
          <w:sz w:val="28"/>
        </w:rPr>
      </w:pPr>
      <w:r>
        <w:rPr>
          <w:rFonts w:ascii="Times New Roman" w:hAnsi="Times New Roman"/>
          <w:sz w:val="28"/>
        </w:rPr>
        <w:t xml:space="preserve">          Для решения задач преодоления серьезных отставаний в экономическом развитии Чеченской Республики от среднего уровня экономического  развития субъектов РФ необходима современная и конкурентоспособная  финансовая инфраструктура. </w:t>
      </w:r>
    </w:p>
    <w:p w:rsidR="00732B10" w:rsidRDefault="00732B10" w:rsidP="00732B10">
      <w:pPr>
        <w:spacing w:line="360" w:lineRule="auto"/>
        <w:jc w:val="both"/>
        <w:rPr>
          <w:rFonts w:ascii="Times New Roman" w:hAnsi="Times New Roman"/>
          <w:sz w:val="28"/>
        </w:rPr>
      </w:pPr>
      <w:r>
        <w:rPr>
          <w:rFonts w:ascii="Times New Roman" w:hAnsi="Times New Roman"/>
          <w:sz w:val="28"/>
        </w:rPr>
        <w:t xml:space="preserve">       Практически Чеченская Республика оказалась вне процессов, запушенных в Российской Федерации по развитию финансовой инфраструктуры страны. Не были приняты решения на уровне республики в  соответствии со стратегии развития финансового рынка  Российской </w:t>
      </w:r>
      <w:r w:rsidRPr="00757EFB">
        <w:rPr>
          <w:rFonts w:ascii="Times New Roman" w:hAnsi="Times New Roman"/>
          <w:sz w:val="28"/>
        </w:rPr>
        <w:lastRenderedPageBreak/>
        <w:t>Ф</w:t>
      </w:r>
      <w:r>
        <w:rPr>
          <w:rFonts w:ascii="Times New Roman" w:hAnsi="Times New Roman"/>
          <w:sz w:val="28"/>
        </w:rPr>
        <w:t xml:space="preserve">едерации на период до 2020 года и стратегии развития банковского сектора Российской Федерации на период до 2015 года.  Аналогичная ситуация складывается и в части принятой Правительством Российской Федерации стратегии развития страховой деятельности в Российской Федерации на период до 2020 года. Во всех субъектах (кроме Чеченской Республики) наблюдается активная работа по разработке, принятию и реализации стратегий развития страховой деятельности на период до 2020 года. </w:t>
      </w:r>
    </w:p>
    <w:p w:rsidR="00732B10" w:rsidRDefault="00732B10" w:rsidP="00732B10">
      <w:pPr>
        <w:spacing w:line="360" w:lineRule="auto"/>
        <w:jc w:val="both"/>
        <w:rPr>
          <w:rFonts w:ascii="Times New Roman" w:hAnsi="Times New Roman"/>
          <w:sz w:val="28"/>
        </w:rPr>
      </w:pPr>
      <w:r>
        <w:rPr>
          <w:rFonts w:ascii="Times New Roman" w:hAnsi="Times New Roman"/>
          <w:sz w:val="28"/>
        </w:rPr>
        <w:t xml:space="preserve">       Для решения вопросов развития финансовой инфраструктуры республики необходимо использовать механизм государственно-частного партнерства. Это позволит существенно снизить инвестиционные риски в деятельности бизнес-структур и ослабить нагрузки на бюджеты всех уровней Чеченской Республики. </w:t>
      </w:r>
    </w:p>
    <w:p w:rsidR="00732B10" w:rsidRDefault="00732B10" w:rsidP="00732B10">
      <w:pPr>
        <w:spacing w:line="360" w:lineRule="auto"/>
        <w:jc w:val="both"/>
        <w:rPr>
          <w:rFonts w:ascii="Times New Roman" w:hAnsi="Times New Roman"/>
          <w:sz w:val="28"/>
        </w:rPr>
      </w:pPr>
      <w:r>
        <w:rPr>
          <w:rFonts w:ascii="Times New Roman" w:hAnsi="Times New Roman"/>
          <w:sz w:val="28"/>
        </w:rPr>
        <w:t xml:space="preserve">          Необходима Комплексная программа развития финансовой инфраструктуры экономики Чеченской Республики на период до 2020 года. Эта Программа должна основываться на Концепции развития финансовой инфраструктуры, включающая Стратегии развития финансового рынка, Стратегии развития банковского сектора и Стратегии развития страховой деятельности в республике на период до 2020 года.</w:t>
      </w:r>
    </w:p>
    <w:p w:rsidR="00732B10" w:rsidRPr="0077297D" w:rsidRDefault="00732B10" w:rsidP="00732B10">
      <w:pPr>
        <w:spacing w:line="360" w:lineRule="auto"/>
        <w:jc w:val="both"/>
        <w:rPr>
          <w:rFonts w:ascii="Times New Roman" w:hAnsi="Times New Roman"/>
          <w:sz w:val="28"/>
        </w:rPr>
      </w:pPr>
      <w:r>
        <w:rPr>
          <w:rFonts w:ascii="Times New Roman" w:hAnsi="Times New Roman"/>
          <w:sz w:val="28"/>
        </w:rPr>
        <w:t xml:space="preserve">        Развернуто вопросы совершенствования финансов Чеченской республики, включая аналитику, раскрыты и представлены в раздаточном материале Коллегии.   </w:t>
      </w:r>
    </w:p>
    <w:p w:rsidR="00732B10" w:rsidRPr="002958ED" w:rsidRDefault="00732B10" w:rsidP="00732B10">
      <w:pPr>
        <w:tabs>
          <w:tab w:val="left" w:pos="851"/>
        </w:tabs>
        <w:spacing w:after="0" w:line="300" w:lineRule="auto"/>
        <w:ind w:firstLine="567"/>
        <w:jc w:val="both"/>
        <w:rPr>
          <w:rFonts w:ascii="Times New Roman" w:hAnsi="Times New Roman"/>
          <w:sz w:val="28"/>
          <w:szCs w:val="28"/>
        </w:rPr>
      </w:pPr>
      <w:r>
        <w:rPr>
          <w:rFonts w:ascii="Times New Roman" w:hAnsi="Times New Roman"/>
          <w:sz w:val="28"/>
          <w:szCs w:val="28"/>
        </w:rPr>
        <w:t>Спасибо за внимание!</w:t>
      </w:r>
    </w:p>
    <w:p w:rsidR="00732B10" w:rsidRDefault="00732B10" w:rsidP="00732B10">
      <w:pPr>
        <w:jc w:val="both"/>
      </w:pPr>
    </w:p>
    <w:p w:rsidR="00732B10" w:rsidRDefault="00732B10" w:rsidP="00732B10">
      <w:pPr>
        <w:spacing w:after="0" w:line="240" w:lineRule="exact"/>
        <w:jc w:val="both"/>
        <w:rPr>
          <w:rFonts w:ascii="Times New Roman" w:hAnsi="Times New Roman"/>
          <w:sz w:val="28"/>
          <w:szCs w:val="28"/>
        </w:rPr>
      </w:pPr>
      <w:r>
        <w:rPr>
          <w:rFonts w:ascii="Times New Roman" w:hAnsi="Times New Roman"/>
          <w:sz w:val="28"/>
          <w:szCs w:val="28"/>
        </w:rPr>
        <w:t xml:space="preserve">Министр финансов </w:t>
      </w:r>
    </w:p>
    <w:p w:rsidR="00732B10" w:rsidRDefault="00732B10" w:rsidP="00732B10">
      <w:pPr>
        <w:spacing w:after="0" w:line="240" w:lineRule="exact"/>
        <w:jc w:val="both"/>
        <w:rPr>
          <w:rFonts w:ascii="Times New Roman" w:hAnsi="Times New Roman"/>
          <w:sz w:val="28"/>
          <w:szCs w:val="28"/>
        </w:rPr>
      </w:pPr>
      <w:r>
        <w:rPr>
          <w:rFonts w:ascii="Times New Roman" w:hAnsi="Times New Roman"/>
          <w:sz w:val="28"/>
          <w:szCs w:val="28"/>
        </w:rPr>
        <w:t>Чеченской Республики                                                 У.А-А. Рассуханов</w:t>
      </w:r>
    </w:p>
    <w:p w:rsidR="00732B10" w:rsidRDefault="00732B10" w:rsidP="00732B10">
      <w:pPr>
        <w:spacing w:after="0" w:line="240" w:lineRule="exact"/>
        <w:jc w:val="both"/>
        <w:rPr>
          <w:rFonts w:ascii="Times New Roman" w:hAnsi="Times New Roman"/>
          <w:sz w:val="28"/>
          <w:szCs w:val="28"/>
        </w:rPr>
      </w:pPr>
    </w:p>
    <w:p w:rsidR="00732B10" w:rsidRDefault="00732B10" w:rsidP="00732B10">
      <w:pPr>
        <w:spacing w:after="0" w:line="240" w:lineRule="exact"/>
        <w:jc w:val="both"/>
        <w:rPr>
          <w:rFonts w:ascii="Times New Roman" w:hAnsi="Times New Roman"/>
          <w:sz w:val="28"/>
          <w:szCs w:val="28"/>
        </w:rPr>
      </w:pPr>
    </w:p>
    <w:p w:rsidR="00732B10" w:rsidRDefault="00732B10" w:rsidP="00732B10">
      <w:pPr>
        <w:spacing w:after="0" w:line="240" w:lineRule="exact"/>
        <w:jc w:val="both"/>
        <w:rPr>
          <w:rFonts w:ascii="Times New Roman" w:hAnsi="Times New Roman"/>
          <w:sz w:val="28"/>
          <w:szCs w:val="28"/>
        </w:rPr>
      </w:pPr>
      <w:r>
        <w:rPr>
          <w:rFonts w:ascii="Times New Roman" w:hAnsi="Times New Roman"/>
          <w:sz w:val="28"/>
          <w:szCs w:val="28"/>
        </w:rPr>
        <w:t>27.06.2014</w:t>
      </w:r>
    </w:p>
    <w:p w:rsidR="00732B10" w:rsidRDefault="00732B10" w:rsidP="00732B10"/>
    <w:p w:rsidR="00732B10" w:rsidRDefault="00732B10" w:rsidP="00732B10"/>
    <w:p w:rsidR="00B66978" w:rsidRDefault="00B66978"/>
    <w:sectPr w:rsidR="00B66978">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1F2" w:rsidRDefault="007E21F2" w:rsidP="00D111B9">
      <w:pPr>
        <w:spacing w:after="0" w:line="240" w:lineRule="auto"/>
      </w:pPr>
      <w:r>
        <w:separator/>
      </w:r>
    </w:p>
  </w:endnote>
  <w:endnote w:type="continuationSeparator" w:id="0">
    <w:p w:rsidR="007E21F2" w:rsidRDefault="007E21F2" w:rsidP="00D11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2355987"/>
      <w:docPartObj>
        <w:docPartGallery w:val="Page Numbers (Bottom of Page)"/>
        <w:docPartUnique/>
      </w:docPartObj>
    </w:sdtPr>
    <w:sdtEndPr/>
    <w:sdtContent>
      <w:p w:rsidR="00D111B9" w:rsidRDefault="00D111B9">
        <w:pPr>
          <w:pStyle w:val="aa"/>
          <w:jc w:val="right"/>
        </w:pPr>
        <w:r>
          <w:fldChar w:fldCharType="begin"/>
        </w:r>
        <w:r>
          <w:instrText>PAGE   \* MERGEFORMAT</w:instrText>
        </w:r>
        <w:r>
          <w:fldChar w:fldCharType="separate"/>
        </w:r>
        <w:r w:rsidR="00D73A4F">
          <w:rPr>
            <w:noProof/>
          </w:rPr>
          <w:t>21</w:t>
        </w:r>
        <w:r>
          <w:fldChar w:fldCharType="end"/>
        </w:r>
      </w:p>
    </w:sdtContent>
  </w:sdt>
  <w:p w:rsidR="00D111B9" w:rsidRDefault="00D111B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1F2" w:rsidRDefault="007E21F2" w:rsidP="00D111B9">
      <w:pPr>
        <w:spacing w:after="0" w:line="240" w:lineRule="auto"/>
      </w:pPr>
      <w:r>
        <w:separator/>
      </w:r>
    </w:p>
  </w:footnote>
  <w:footnote w:type="continuationSeparator" w:id="0">
    <w:p w:rsidR="007E21F2" w:rsidRDefault="007E21F2" w:rsidP="00D111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E6E68"/>
    <w:multiLevelType w:val="hybridMultilevel"/>
    <w:tmpl w:val="A98E1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286C66"/>
    <w:multiLevelType w:val="hybridMultilevel"/>
    <w:tmpl w:val="AA32F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C8049B9"/>
    <w:multiLevelType w:val="hybridMultilevel"/>
    <w:tmpl w:val="29D06B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7B8749C8"/>
    <w:multiLevelType w:val="hybridMultilevel"/>
    <w:tmpl w:val="656676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B10"/>
    <w:rsid w:val="000002CE"/>
    <w:rsid w:val="0000547B"/>
    <w:rsid w:val="000070FF"/>
    <w:rsid w:val="00011CD9"/>
    <w:rsid w:val="000145F1"/>
    <w:rsid w:val="0002558D"/>
    <w:rsid w:val="000302C1"/>
    <w:rsid w:val="00032702"/>
    <w:rsid w:val="000352F6"/>
    <w:rsid w:val="00036426"/>
    <w:rsid w:val="00043733"/>
    <w:rsid w:val="00047260"/>
    <w:rsid w:val="00047365"/>
    <w:rsid w:val="0005057D"/>
    <w:rsid w:val="00053525"/>
    <w:rsid w:val="000570AB"/>
    <w:rsid w:val="00060FF2"/>
    <w:rsid w:val="00061325"/>
    <w:rsid w:val="00063FE5"/>
    <w:rsid w:val="00064514"/>
    <w:rsid w:val="00066626"/>
    <w:rsid w:val="000762F3"/>
    <w:rsid w:val="000766AC"/>
    <w:rsid w:val="000830EA"/>
    <w:rsid w:val="00084B1E"/>
    <w:rsid w:val="00085FAB"/>
    <w:rsid w:val="00086553"/>
    <w:rsid w:val="0008760F"/>
    <w:rsid w:val="00087D75"/>
    <w:rsid w:val="00090962"/>
    <w:rsid w:val="0009171D"/>
    <w:rsid w:val="00091D17"/>
    <w:rsid w:val="000930E0"/>
    <w:rsid w:val="00096CED"/>
    <w:rsid w:val="00096DD5"/>
    <w:rsid w:val="000973B4"/>
    <w:rsid w:val="000A2C7C"/>
    <w:rsid w:val="000B2256"/>
    <w:rsid w:val="000C01E5"/>
    <w:rsid w:val="000C6574"/>
    <w:rsid w:val="000D02C1"/>
    <w:rsid w:val="000D1762"/>
    <w:rsid w:val="000D6A53"/>
    <w:rsid w:val="000E5AB2"/>
    <w:rsid w:val="000E6936"/>
    <w:rsid w:val="000F58BC"/>
    <w:rsid w:val="00102187"/>
    <w:rsid w:val="00104089"/>
    <w:rsid w:val="001054C0"/>
    <w:rsid w:val="00105932"/>
    <w:rsid w:val="001072A7"/>
    <w:rsid w:val="00107ED9"/>
    <w:rsid w:val="00110660"/>
    <w:rsid w:val="001173F6"/>
    <w:rsid w:val="00120BB9"/>
    <w:rsid w:val="001251E8"/>
    <w:rsid w:val="0012679E"/>
    <w:rsid w:val="001311BA"/>
    <w:rsid w:val="0013145A"/>
    <w:rsid w:val="0013257D"/>
    <w:rsid w:val="00133D56"/>
    <w:rsid w:val="00137158"/>
    <w:rsid w:val="001413AF"/>
    <w:rsid w:val="00146094"/>
    <w:rsid w:val="00155AD7"/>
    <w:rsid w:val="0016248C"/>
    <w:rsid w:val="00170FA6"/>
    <w:rsid w:val="00176BB3"/>
    <w:rsid w:val="00184475"/>
    <w:rsid w:val="00186482"/>
    <w:rsid w:val="0019749E"/>
    <w:rsid w:val="00197935"/>
    <w:rsid w:val="001A10BB"/>
    <w:rsid w:val="001A70DA"/>
    <w:rsid w:val="001B1261"/>
    <w:rsid w:val="001B1297"/>
    <w:rsid w:val="001B132E"/>
    <w:rsid w:val="001B1B9A"/>
    <w:rsid w:val="001B4E0C"/>
    <w:rsid w:val="001B7563"/>
    <w:rsid w:val="001B7DB5"/>
    <w:rsid w:val="001C0AB7"/>
    <w:rsid w:val="001C3FA7"/>
    <w:rsid w:val="001C4A2B"/>
    <w:rsid w:val="001D2EED"/>
    <w:rsid w:val="001D3058"/>
    <w:rsid w:val="001D41AD"/>
    <w:rsid w:val="001E196C"/>
    <w:rsid w:val="001E1F61"/>
    <w:rsid w:val="001E4E50"/>
    <w:rsid w:val="001E6148"/>
    <w:rsid w:val="001E792A"/>
    <w:rsid w:val="001F233F"/>
    <w:rsid w:val="00201997"/>
    <w:rsid w:val="00206303"/>
    <w:rsid w:val="00207DEA"/>
    <w:rsid w:val="00230A33"/>
    <w:rsid w:val="00233AE8"/>
    <w:rsid w:val="00240E88"/>
    <w:rsid w:val="002437C3"/>
    <w:rsid w:val="002456C7"/>
    <w:rsid w:val="0024600C"/>
    <w:rsid w:val="00253DD5"/>
    <w:rsid w:val="00265550"/>
    <w:rsid w:val="00270AC9"/>
    <w:rsid w:val="00273865"/>
    <w:rsid w:val="00275060"/>
    <w:rsid w:val="00276718"/>
    <w:rsid w:val="00276D11"/>
    <w:rsid w:val="002772EA"/>
    <w:rsid w:val="00290CD6"/>
    <w:rsid w:val="00294D12"/>
    <w:rsid w:val="00296E19"/>
    <w:rsid w:val="00297464"/>
    <w:rsid w:val="002A0050"/>
    <w:rsid w:val="002A204F"/>
    <w:rsid w:val="002A6442"/>
    <w:rsid w:val="002B3CED"/>
    <w:rsid w:val="002B478E"/>
    <w:rsid w:val="002B4F1C"/>
    <w:rsid w:val="002B72C0"/>
    <w:rsid w:val="002B78D3"/>
    <w:rsid w:val="002C3407"/>
    <w:rsid w:val="002C4CCA"/>
    <w:rsid w:val="002C7885"/>
    <w:rsid w:val="002D3E1D"/>
    <w:rsid w:val="002D4589"/>
    <w:rsid w:val="002D73B3"/>
    <w:rsid w:val="002D7C16"/>
    <w:rsid w:val="002D7CC6"/>
    <w:rsid w:val="002E7986"/>
    <w:rsid w:val="002F35B2"/>
    <w:rsid w:val="002F73C1"/>
    <w:rsid w:val="00312EAE"/>
    <w:rsid w:val="003146BD"/>
    <w:rsid w:val="003239BB"/>
    <w:rsid w:val="00323FCB"/>
    <w:rsid w:val="0032636E"/>
    <w:rsid w:val="00326A9B"/>
    <w:rsid w:val="00326C93"/>
    <w:rsid w:val="0033727F"/>
    <w:rsid w:val="00337F44"/>
    <w:rsid w:val="00344AED"/>
    <w:rsid w:val="00352617"/>
    <w:rsid w:val="003545E9"/>
    <w:rsid w:val="003674CD"/>
    <w:rsid w:val="00385C58"/>
    <w:rsid w:val="00393D2C"/>
    <w:rsid w:val="00394AC9"/>
    <w:rsid w:val="00396108"/>
    <w:rsid w:val="00396A4A"/>
    <w:rsid w:val="003979F3"/>
    <w:rsid w:val="003A2AC7"/>
    <w:rsid w:val="003B5D43"/>
    <w:rsid w:val="003C132E"/>
    <w:rsid w:val="003C4911"/>
    <w:rsid w:val="003C7083"/>
    <w:rsid w:val="003C790D"/>
    <w:rsid w:val="003C7E0C"/>
    <w:rsid w:val="003D2791"/>
    <w:rsid w:val="003D34E8"/>
    <w:rsid w:val="003D47B6"/>
    <w:rsid w:val="003D4DCD"/>
    <w:rsid w:val="003D5383"/>
    <w:rsid w:val="003E47E7"/>
    <w:rsid w:val="003E6858"/>
    <w:rsid w:val="003F39E5"/>
    <w:rsid w:val="00401E2C"/>
    <w:rsid w:val="004020D0"/>
    <w:rsid w:val="004023E9"/>
    <w:rsid w:val="00402F88"/>
    <w:rsid w:val="00403483"/>
    <w:rsid w:val="00413052"/>
    <w:rsid w:val="0043492D"/>
    <w:rsid w:val="00442BC9"/>
    <w:rsid w:val="00443814"/>
    <w:rsid w:val="004516B6"/>
    <w:rsid w:val="00452FCE"/>
    <w:rsid w:val="004537F4"/>
    <w:rsid w:val="00457EDC"/>
    <w:rsid w:val="004640A4"/>
    <w:rsid w:val="00465FDD"/>
    <w:rsid w:val="004677A0"/>
    <w:rsid w:val="00476741"/>
    <w:rsid w:val="00477499"/>
    <w:rsid w:val="00480910"/>
    <w:rsid w:val="0048306B"/>
    <w:rsid w:val="004859AA"/>
    <w:rsid w:val="004905FA"/>
    <w:rsid w:val="004950C3"/>
    <w:rsid w:val="004A060F"/>
    <w:rsid w:val="004A1716"/>
    <w:rsid w:val="004A3D4C"/>
    <w:rsid w:val="004A484F"/>
    <w:rsid w:val="004A56CE"/>
    <w:rsid w:val="004A638C"/>
    <w:rsid w:val="004A6402"/>
    <w:rsid w:val="004B33E2"/>
    <w:rsid w:val="004C0088"/>
    <w:rsid w:val="004C0D79"/>
    <w:rsid w:val="004C0E21"/>
    <w:rsid w:val="004C406E"/>
    <w:rsid w:val="004D00EE"/>
    <w:rsid w:val="004D4641"/>
    <w:rsid w:val="004E170E"/>
    <w:rsid w:val="004E79D9"/>
    <w:rsid w:val="004F11DE"/>
    <w:rsid w:val="004F28D3"/>
    <w:rsid w:val="004F4538"/>
    <w:rsid w:val="004F7225"/>
    <w:rsid w:val="00505059"/>
    <w:rsid w:val="00514C0A"/>
    <w:rsid w:val="00515132"/>
    <w:rsid w:val="00515ACB"/>
    <w:rsid w:val="00525574"/>
    <w:rsid w:val="00530173"/>
    <w:rsid w:val="00530E5E"/>
    <w:rsid w:val="00533CA4"/>
    <w:rsid w:val="00536494"/>
    <w:rsid w:val="00536FEA"/>
    <w:rsid w:val="00540BFB"/>
    <w:rsid w:val="00542B73"/>
    <w:rsid w:val="00543383"/>
    <w:rsid w:val="00546174"/>
    <w:rsid w:val="005464AD"/>
    <w:rsid w:val="00546EA8"/>
    <w:rsid w:val="00551210"/>
    <w:rsid w:val="0056664F"/>
    <w:rsid w:val="005701F1"/>
    <w:rsid w:val="005714E9"/>
    <w:rsid w:val="00574A76"/>
    <w:rsid w:val="00580E6B"/>
    <w:rsid w:val="00582726"/>
    <w:rsid w:val="00584133"/>
    <w:rsid w:val="0058445F"/>
    <w:rsid w:val="005862B3"/>
    <w:rsid w:val="00592879"/>
    <w:rsid w:val="0059613B"/>
    <w:rsid w:val="005A497A"/>
    <w:rsid w:val="005B0DA8"/>
    <w:rsid w:val="005B28D8"/>
    <w:rsid w:val="005C55E5"/>
    <w:rsid w:val="005C7E9E"/>
    <w:rsid w:val="005C7EDB"/>
    <w:rsid w:val="005D0BE1"/>
    <w:rsid w:val="005D35E4"/>
    <w:rsid w:val="005D4515"/>
    <w:rsid w:val="005D778F"/>
    <w:rsid w:val="005D77DF"/>
    <w:rsid w:val="005D77F1"/>
    <w:rsid w:val="005E008E"/>
    <w:rsid w:val="005F5951"/>
    <w:rsid w:val="005F596B"/>
    <w:rsid w:val="00603B2A"/>
    <w:rsid w:val="006114AD"/>
    <w:rsid w:val="00615EE1"/>
    <w:rsid w:val="00616F36"/>
    <w:rsid w:val="00621401"/>
    <w:rsid w:val="00624E4A"/>
    <w:rsid w:val="00630E7A"/>
    <w:rsid w:val="00632AC4"/>
    <w:rsid w:val="00641FD0"/>
    <w:rsid w:val="00643D77"/>
    <w:rsid w:val="00647E96"/>
    <w:rsid w:val="00655BAD"/>
    <w:rsid w:val="00655E9E"/>
    <w:rsid w:val="00657DE3"/>
    <w:rsid w:val="00663C79"/>
    <w:rsid w:val="00666B01"/>
    <w:rsid w:val="00666D22"/>
    <w:rsid w:val="00667A3C"/>
    <w:rsid w:val="006728EA"/>
    <w:rsid w:val="0067322E"/>
    <w:rsid w:val="00673C7C"/>
    <w:rsid w:val="00681CAF"/>
    <w:rsid w:val="00690472"/>
    <w:rsid w:val="00692E11"/>
    <w:rsid w:val="00692FBC"/>
    <w:rsid w:val="00697F18"/>
    <w:rsid w:val="006A4AA2"/>
    <w:rsid w:val="006A5200"/>
    <w:rsid w:val="006B2CD5"/>
    <w:rsid w:val="006B5D5E"/>
    <w:rsid w:val="006B6BAA"/>
    <w:rsid w:val="006C3A31"/>
    <w:rsid w:val="006C7954"/>
    <w:rsid w:val="006D0A2E"/>
    <w:rsid w:val="006D2348"/>
    <w:rsid w:val="006D5E43"/>
    <w:rsid w:val="006D7387"/>
    <w:rsid w:val="006D7FB1"/>
    <w:rsid w:val="006E56E5"/>
    <w:rsid w:val="006E7B41"/>
    <w:rsid w:val="006F1A53"/>
    <w:rsid w:val="006F35E0"/>
    <w:rsid w:val="006F4935"/>
    <w:rsid w:val="00700DA5"/>
    <w:rsid w:val="007019DE"/>
    <w:rsid w:val="0070329D"/>
    <w:rsid w:val="007039D1"/>
    <w:rsid w:val="0070519B"/>
    <w:rsid w:val="00705C8A"/>
    <w:rsid w:val="00712545"/>
    <w:rsid w:val="00722E44"/>
    <w:rsid w:val="007244F9"/>
    <w:rsid w:val="00726C07"/>
    <w:rsid w:val="00727535"/>
    <w:rsid w:val="007313D8"/>
    <w:rsid w:val="00732B10"/>
    <w:rsid w:val="0073376C"/>
    <w:rsid w:val="00735858"/>
    <w:rsid w:val="00737D02"/>
    <w:rsid w:val="00742C87"/>
    <w:rsid w:val="00744A38"/>
    <w:rsid w:val="00744DC0"/>
    <w:rsid w:val="00746120"/>
    <w:rsid w:val="00753739"/>
    <w:rsid w:val="00757E34"/>
    <w:rsid w:val="00760E8A"/>
    <w:rsid w:val="00767040"/>
    <w:rsid w:val="0077615A"/>
    <w:rsid w:val="00783B64"/>
    <w:rsid w:val="0078692E"/>
    <w:rsid w:val="0079094C"/>
    <w:rsid w:val="007948C1"/>
    <w:rsid w:val="00794FE6"/>
    <w:rsid w:val="00797687"/>
    <w:rsid w:val="007A282C"/>
    <w:rsid w:val="007A4374"/>
    <w:rsid w:val="007A553F"/>
    <w:rsid w:val="007A76FD"/>
    <w:rsid w:val="007B225C"/>
    <w:rsid w:val="007D0BE6"/>
    <w:rsid w:val="007D31AF"/>
    <w:rsid w:val="007D4413"/>
    <w:rsid w:val="007D482E"/>
    <w:rsid w:val="007D79CA"/>
    <w:rsid w:val="007E0FDC"/>
    <w:rsid w:val="007E10FC"/>
    <w:rsid w:val="007E21F2"/>
    <w:rsid w:val="007E638A"/>
    <w:rsid w:val="007E76DF"/>
    <w:rsid w:val="007F3404"/>
    <w:rsid w:val="007F3AA5"/>
    <w:rsid w:val="007F6817"/>
    <w:rsid w:val="007F75CD"/>
    <w:rsid w:val="00805F60"/>
    <w:rsid w:val="0080778F"/>
    <w:rsid w:val="008135A3"/>
    <w:rsid w:val="00822467"/>
    <w:rsid w:val="00823051"/>
    <w:rsid w:val="00825A0D"/>
    <w:rsid w:val="008330E0"/>
    <w:rsid w:val="008359D5"/>
    <w:rsid w:val="00835A17"/>
    <w:rsid w:val="00836AF2"/>
    <w:rsid w:val="008378C1"/>
    <w:rsid w:val="00841827"/>
    <w:rsid w:val="00845004"/>
    <w:rsid w:val="008457F6"/>
    <w:rsid w:val="0084591F"/>
    <w:rsid w:val="00846A9F"/>
    <w:rsid w:val="00853EB7"/>
    <w:rsid w:val="0085561F"/>
    <w:rsid w:val="0086295A"/>
    <w:rsid w:val="008630FD"/>
    <w:rsid w:val="0086482C"/>
    <w:rsid w:val="0087332C"/>
    <w:rsid w:val="0087363B"/>
    <w:rsid w:val="00880EED"/>
    <w:rsid w:val="00884DB0"/>
    <w:rsid w:val="008A02E1"/>
    <w:rsid w:val="008A13E5"/>
    <w:rsid w:val="008B164C"/>
    <w:rsid w:val="008C3076"/>
    <w:rsid w:val="008C7FCF"/>
    <w:rsid w:val="008D097F"/>
    <w:rsid w:val="008D21C4"/>
    <w:rsid w:val="008D3F0D"/>
    <w:rsid w:val="008D5DEB"/>
    <w:rsid w:val="008E2891"/>
    <w:rsid w:val="008E6614"/>
    <w:rsid w:val="008E77F0"/>
    <w:rsid w:val="008E7A56"/>
    <w:rsid w:val="009033A2"/>
    <w:rsid w:val="00903E61"/>
    <w:rsid w:val="00907B6E"/>
    <w:rsid w:val="009103C1"/>
    <w:rsid w:val="00911304"/>
    <w:rsid w:val="009118C2"/>
    <w:rsid w:val="00911CEB"/>
    <w:rsid w:val="00913B53"/>
    <w:rsid w:val="009171A0"/>
    <w:rsid w:val="00933E89"/>
    <w:rsid w:val="009343F0"/>
    <w:rsid w:val="0093456D"/>
    <w:rsid w:val="009359C4"/>
    <w:rsid w:val="00936EA1"/>
    <w:rsid w:val="00941C25"/>
    <w:rsid w:val="009470DE"/>
    <w:rsid w:val="00947112"/>
    <w:rsid w:val="009478A8"/>
    <w:rsid w:val="00947E90"/>
    <w:rsid w:val="00952C4B"/>
    <w:rsid w:val="0095451D"/>
    <w:rsid w:val="0095771A"/>
    <w:rsid w:val="0096387C"/>
    <w:rsid w:val="00963FA4"/>
    <w:rsid w:val="00965940"/>
    <w:rsid w:val="0097637B"/>
    <w:rsid w:val="00982FE2"/>
    <w:rsid w:val="00984942"/>
    <w:rsid w:val="009852DB"/>
    <w:rsid w:val="00985E16"/>
    <w:rsid w:val="009925D0"/>
    <w:rsid w:val="00993E24"/>
    <w:rsid w:val="009976D7"/>
    <w:rsid w:val="009A2FCB"/>
    <w:rsid w:val="009B2E77"/>
    <w:rsid w:val="009C2EF1"/>
    <w:rsid w:val="009C3CA2"/>
    <w:rsid w:val="009C57CB"/>
    <w:rsid w:val="009C5B78"/>
    <w:rsid w:val="009D1084"/>
    <w:rsid w:val="009D2283"/>
    <w:rsid w:val="009D3FEB"/>
    <w:rsid w:val="009D658E"/>
    <w:rsid w:val="009D7F0F"/>
    <w:rsid w:val="009E2FBA"/>
    <w:rsid w:val="009E334C"/>
    <w:rsid w:val="009E53B7"/>
    <w:rsid w:val="009F36A0"/>
    <w:rsid w:val="00A0429F"/>
    <w:rsid w:val="00A054B9"/>
    <w:rsid w:val="00A079DE"/>
    <w:rsid w:val="00A10A6E"/>
    <w:rsid w:val="00A22C29"/>
    <w:rsid w:val="00A2436E"/>
    <w:rsid w:val="00A24773"/>
    <w:rsid w:val="00A24E6B"/>
    <w:rsid w:val="00A302C8"/>
    <w:rsid w:val="00A31E3D"/>
    <w:rsid w:val="00A3232D"/>
    <w:rsid w:val="00A369C7"/>
    <w:rsid w:val="00A40179"/>
    <w:rsid w:val="00A408C1"/>
    <w:rsid w:val="00A43457"/>
    <w:rsid w:val="00A52569"/>
    <w:rsid w:val="00A533D9"/>
    <w:rsid w:val="00A55A3A"/>
    <w:rsid w:val="00A57840"/>
    <w:rsid w:val="00A61C5A"/>
    <w:rsid w:val="00A633DF"/>
    <w:rsid w:val="00A6502C"/>
    <w:rsid w:val="00A66CBA"/>
    <w:rsid w:val="00A6700E"/>
    <w:rsid w:val="00A673A5"/>
    <w:rsid w:val="00A72E2D"/>
    <w:rsid w:val="00A761EE"/>
    <w:rsid w:val="00A81E65"/>
    <w:rsid w:val="00A82918"/>
    <w:rsid w:val="00A82DB2"/>
    <w:rsid w:val="00A84AE7"/>
    <w:rsid w:val="00AA0180"/>
    <w:rsid w:val="00AA25C5"/>
    <w:rsid w:val="00AA3090"/>
    <w:rsid w:val="00AA7754"/>
    <w:rsid w:val="00AB1149"/>
    <w:rsid w:val="00AB6780"/>
    <w:rsid w:val="00AC184F"/>
    <w:rsid w:val="00AC47D6"/>
    <w:rsid w:val="00AC5DB2"/>
    <w:rsid w:val="00AD2755"/>
    <w:rsid w:val="00AD641A"/>
    <w:rsid w:val="00AD6AEF"/>
    <w:rsid w:val="00AE28F6"/>
    <w:rsid w:val="00AF3562"/>
    <w:rsid w:val="00AF442A"/>
    <w:rsid w:val="00AF5C4A"/>
    <w:rsid w:val="00AF6936"/>
    <w:rsid w:val="00AF6B70"/>
    <w:rsid w:val="00AF7CCC"/>
    <w:rsid w:val="00B04F26"/>
    <w:rsid w:val="00B143AF"/>
    <w:rsid w:val="00B15597"/>
    <w:rsid w:val="00B256E8"/>
    <w:rsid w:val="00B309AD"/>
    <w:rsid w:val="00B32FDD"/>
    <w:rsid w:val="00B36D4A"/>
    <w:rsid w:val="00B36F4A"/>
    <w:rsid w:val="00B51F58"/>
    <w:rsid w:val="00B55197"/>
    <w:rsid w:val="00B57326"/>
    <w:rsid w:val="00B573CC"/>
    <w:rsid w:val="00B5797A"/>
    <w:rsid w:val="00B61E4C"/>
    <w:rsid w:val="00B6543E"/>
    <w:rsid w:val="00B66519"/>
    <w:rsid w:val="00B66978"/>
    <w:rsid w:val="00B70221"/>
    <w:rsid w:val="00B715CE"/>
    <w:rsid w:val="00B73C09"/>
    <w:rsid w:val="00B75567"/>
    <w:rsid w:val="00B76427"/>
    <w:rsid w:val="00B807AD"/>
    <w:rsid w:val="00B835FC"/>
    <w:rsid w:val="00B84559"/>
    <w:rsid w:val="00B85FC2"/>
    <w:rsid w:val="00B86D90"/>
    <w:rsid w:val="00B9039C"/>
    <w:rsid w:val="00B920FE"/>
    <w:rsid w:val="00B96AC9"/>
    <w:rsid w:val="00B97087"/>
    <w:rsid w:val="00BA303A"/>
    <w:rsid w:val="00BA3D3E"/>
    <w:rsid w:val="00BA568E"/>
    <w:rsid w:val="00BA6957"/>
    <w:rsid w:val="00BB176C"/>
    <w:rsid w:val="00BB48B2"/>
    <w:rsid w:val="00BB5258"/>
    <w:rsid w:val="00BB5684"/>
    <w:rsid w:val="00BC2AA4"/>
    <w:rsid w:val="00BC2F02"/>
    <w:rsid w:val="00BC4C53"/>
    <w:rsid w:val="00BC5B3F"/>
    <w:rsid w:val="00BC69A4"/>
    <w:rsid w:val="00BD1445"/>
    <w:rsid w:val="00BD30FD"/>
    <w:rsid w:val="00BD5BC6"/>
    <w:rsid w:val="00BD7FCC"/>
    <w:rsid w:val="00BE23FD"/>
    <w:rsid w:val="00BE5764"/>
    <w:rsid w:val="00BF0709"/>
    <w:rsid w:val="00BF2813"/>
    <w:rsid w:val="00BF2BE1"/>
    <w:rsid w:val="00C036AA"/>
    <w:rsid w:val="00C042F9"/>
    <w:rsid w:val="00C061AB"/>
    <w:rsid w:val="00C13419"/>
    <w:rsid w:val="00C15175"/>
    <w:rsid w:val="00C20C52"/>
    <w:rsid w:val="00C34281"/>
    <w:rsid w:val="00C40F9F"/>
    <w:rsid w:val="00C43FB2"/>
    <w:rsid w:val="00C45C98"/>
    <w:rsid w:val="00C46F01"/>
    <w:rsid w:val="00C51C65"/>
    <w:rsid w:val="00C61C16"/>
    <w:rsid w:val="00C63330"/>
    <w:rsid w:val="00C643D8"/>
    <w:rsid w:val="00C73B07"/>
    <w:rsid w:val="00C750D8"/>
    <w:rsid w:val="00C7535D"/>
    <w:rsid w:val="00C85771"/>
    <w:rsid w:val="00C95210"/>
    <w:rsid w:val="00C9657D"/>
    <w:rsid w:val="00CC1311"/>
    <w:rsid w:val="00CC2581"/>
    <w:rsid w:val="00CC6436"/>
    <w:rsid w:val="00CD0F6E"/>
    <w:rsid w:val="00CD1930"/>
    <w:rsid w:val="00CD4A38"/>
    <w:rsid w:val="00CE0B46"/>
    <w:rsid w:val="00CE0CB0"/>
    <w:rsid w:val="00CF331A"/>
    <w:rsid w:val="00CF3A3C"/>
    <w:rsid w:val="00CF3E81"/>
    <w:rsid w:val="00CF59F0"/>
    <w:rsid w:val="00CF7CDB"/>
    <w:rsid w:val="00D03124"/>
    <w:rsid w:val="00D03CCF"/>
    <w:rsid w:val="00D10143"/>
    <w:rsid w:val="00D111B9"/>
    <w:rsid w:val="00D11576"/>
    <w:rsid w:val="00D11FC7"/>
    <w:rsid w:val="00D16C4D"/>
    <w:rsid w:val="00D16EAA"/>
    <w:rsid w:val="00D24382"/>
    <w:rsid w:val="00D24CD0"/>
    <w:rsid w:val="00D25BBB"/>
    <w:rsid w:val="00D266CD"/>
    <w:rsid w:val="00D27843"/>
    <w:rsid w:val="00D30138"/>
    <w:rsid w:val="00D328DD"/>
    <w:rsid w:val="00D3362C"/>
    <w:rsid w:val="00D426F8"/>
    <w:rsid w:val="00D5221D"/>
    <w:rsid w:val="00D53749"/>
    <w:rsid w:val="00D575CE"/>
    <w:rsid w:val="00D6105F"/>
    <w:rsid w:val="00D628E5"/>
    <w:rsid w:val="00D636AE"/>
    <w:rsid w:val="00D65438"/>
    <w:rsid w:val="00D674D5"/>
    <w:rsid w:val="00D67F50"/>
    <w:rsid w:val="00D71E10"/>
    <w:rsid w:val="00D72953"/>
    <w:rsid w:val="00D73A4F"/>
    <w:rsid w:val="00D7779F"/>
    <w:rsid w:val="00D80C9D"/>
    <w:rsid w:val="00D812F5"/>
    <w:rsid w:val="00D85113"/>
    <w:rsid w:val="00D939BF"/>
    <w:rsid w:val="00D94200"/>
    <w:rsid w:val="00D94393"/>
    <w:rsid w:val="00D962E7"/>
    <w:rsid w:val="00D97303"/>
    <w:rsid w:val="00DA0384"/>
    <w:rsid w:val="00DA32DE"/>
    <w:rsid w:val="00DA7D7F"/>
    <w:rsid w:val="00DB22A1"/>
    <w:rsid w:val="00DB3D5B"/>
    <w:rsid w:val="00DB549D"/>
    <w:rsid w:val="00DB6744"/>
    <w:rsid w:val="00DC1E7C"/>
    <w:rsid w:val="00DC3708"/>
    <w:rsid w:val="00DC3F63"/>
    <w:rsid w:val="00DC4E00"/>
    <w:rsid w:val="00DC6D53"/>
    <w:rsid w:val="00DD19E9"/>
    <w:rsid w:val="00DE0CD8"/>
    <w:rsid w:val="00DF754B"/>
    <w:rsid w:val="00E014CD"/>
    <w:rsid w:val="00E01D30"/>
    <w:rsid w:val="00E01D4B"/>
    <w:rsid w:val="00E11503"/>
    <w:rsid w:val="00E11A41"/>
    <w:rsid w:val="00E16BAC"/>
    <w:rsid w:val="00E204C1"/>
    <w:rsid w:val="00E25545"/>
    <w:rsid w:val="00E37654"/>
    <w:rsid w:val="00E37BE0"/>
    <w:rsid w:val="00E412F5"/>
    <w:rsid w:val="00E41BA7"/>
    <w:rsid w:val="00E4297E"/>
    <w:rsid w:val="00E44E32"/>
    <w:rsid w:val="00E476B9"/>
    <w:rsid w:val="00E52EC5"/>
    <w:rsid w:val="00E62453"/>
    <w:rsid w:val="00E65953"/>
    <w:rsid w:val="00E74432"/>
    <w:rsid w:val="00E76D63"/>
    <w:rsid w:val="00E77E22"/>
    <w:rsid w:val="00E80792"/>
    <w:rsid w:val="00E816DE"/>
    <w:rsid w:val="00E85496"/>
    <w:rsid w:val="00E87473"/>
    <w:rsid w:val="00E87C13"/>
    <w:rsid w:val="00E90052"/>
    <w:rsid w:val="00E91451"/>
    <w:rsid w:val="00E9371D"/>
    <w:rsid w:val="00E93B9C"/>
    <w:rsid w:val="00E959C7"/>
    <w:rsid w:val="00EA26D6"/>
    <w:rsid w:val="00EA34CF"/>
    <w:rsid w:val="00EA3642"/>
    <w:rsid w:val="00EA48D8"/>
    <w:rsid w:val="00EA67C7"/>
    <w:rsid w:val="00EA77CD"/>
    <w:rsid w:val="00EB025B"/>
    <w:rsid w:val="00EB18F7"/>
    <w:rsid w:val="00EB52CC"/>
    <w:rsid w:val="00EB66F1"/>
    <w:rsid w:val="00EB7EB1"/>
    <w:rsid w:val="00EC1002"/>
    <w:rsid w:val="00EC3FB5"/>
    <w:rsid w:val="00EC6606"/>
    <w:rsid w:val="00ED0B8F"/>
    <w:rsid w:val="00ED344F"/>
    <w:rsid w:val="00EE0995"/>
    <w:rsid w:val="00EF2186"/>
    <w:rsid w:val="00EF421B"/>
    <w:rsid w:val="00EF5074"/>
    <w:rsid w:val="00EF7C5A"/>
    <w:rsid w:val="00F00D79"/>
    <w:rsid w:val="00F01347"/>
    <w:rsid w:val="00F020FD"/>
    <w:rsid w:val="00F03F10"/>
    <w:rsid w:val="00F109CD"/>
    <w:rsid w:val="00F12065"/>
    <w:rsid w:val="00F22B75"/>
    <w:rsid w:val="00F22CCA"/>
    <w:rsid w:val="00F22F11"/>
    <w:rsid w:val="00F25F98"/>
    <w:rsid w:val="00F271B4"/>
    <w:rsid w:val="00F32298"/>
    <w:rsid w:val="00F40548"/>
    <w:rsid w:val="00F435E0"/>
    <w:rsid w:val="00F466E2"/>
    <w:rsid w:val="00F471D5"/>
    <w:rsid w:val="00F50FC9"/>
    <w:rsid w:val="00F53BF0"/>
    <w:rsid w:val="00F567D6"/>
    <w:rsid w:val="00F65E28"/>
    <w:rsid w:val="00F661CE"/>
    <w:rsid w:val="00F664B4"/>
    <w:rsid w:val="00F70F7C"/>
    <w:rsid w:val="00F8076B"/>
    <w:rsid w:val="00F86E4E"/>
    <w:rsid w:val="00F9114D"/>
    <w:rsid w:val="00F92A91"/>
    <w:rsid w:val="00F94D97"/>
    <w:rsid w:val="00F95EFB"/>
    <w:rsid w:val="00F96642"/>
    <w:rsid w:val="00FA4DCB"/>
    <w:rsid w:val="00FA63F9"/>
    <w:rsid w:val="00FA6EFD"/>
    <w:rsid w:val="00FB0D1B"/>
    <w:rsid w:val="00FB299B"/>
    <w:rsid w:val="00FB5A89"/>
    <w:rsid w:val="00FC13C5"/>
    <w:rsid w:val="00FC37B2"/>
    <w:rsid w:val="00FC443C"/>
    <w:rsid w:val="00FC5A3A"/>
    <w:rsid w:val="00FC5F3C"/>
    <w:rsid w:val="00FD3B6E"/>
    <w:rsid w:val="00FE04C8"/>
    <w:rsid w:val="00FE16B5"/>
    <w:rsid w:val="00FE1921"/>
    <w:rsid w:val="00FE50CF"/>
    <w:rsid w:val="00FE5ACE"/>
    <w:rsid w:val="00FE6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F21BBD-F6B8-464B-B5A6-BA92B72CB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B1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2B1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2B10"/>
    <w:pPr>
      <w:ind w:left="720"/>
      <w:contextualSpacing/>
    </w:pPr>
  </w:style>
  <w:style w:type="character" w:styleId="a5">
    <w:name w:val="Hyperlink"/>
    <w:basedOn w:val="a0"/>
    <w:uiPriority w:val="99"/>
    <w:unhideWhenUsed/>
    <w:rsid w:val="00732B10"/>
    <w:rPr>
      <w:color w:val="0000FF"/>
      <w:u w:val="single"/>
    </w:rPr>
  </w:style>
  <w:style w:type="paragraph" w:customStyle="1" w:styleId="ConsPlusNormal">
    <w:name w:val="ConsPlusNormal"/>
    <w:rsid w:val="00732B1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732B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32B1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2B10"/>
    <w:rPr>
      <w:rFonts w:ascii="Tahoma" w:eastAsia="Calibri" w:hAnsi="Tahoma" w:cs="Tahoma"/>
      <w:sz w:val="16"/>
      <w:szCs w:val="16"/>
    </w:rPr>
  </w:style>
  <w:style w:type="paragraph" w:styleId="a8">
    <w:name w:val="header"/>
    <w:basedOn w:val="a"/>
    <w:link w:val="a9"/>
    <w:uiPriority w:val="99"/>
    <w:unhideWhenUsed/>
    <w:rsid w:val="00D111B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111B9"/>
    <w:rPr>
      <w:rFonts w:ascii="Calibri" w:eastAsia="Calibri" w:hAnsi="Calibri" w:cs="Times New Roman"/>
    </w:rPr>
  </w:style>
  <w:style w:type="paragraph" w:styleId="aa">
    <w:name w:val="footer"/>
    <w:basedOn w:val="a"/>
    <w:link w:val="ab"/>
    <w:uiPriority w:val="99"/>
    <w:unhideWhenUsed/>
    <w:rsid w:val="00D111B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111B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report.ru" TargetMode="External"/><Relationship Id="rId12" Type="http://schemas.openxmlformats.org/officeDocument/2006/relationships/hyperlink" Target="http://www.roskazna.ru" TargetMode="External"/><Relationship Id="rId17" Type="http://schemas.openxmlformats.org/officeDocument/2006/relationships/chart" Target="charts/chart8.xml"/><Relationship Id="rId2" Type="http://schemas.openxmlformats.org/officeDocument/2006/relationships/styles" Target="styles.xml"/><Relationship Id="rId16" Type="http://schemas.openxmlformats.org/officeDocument/2006/relationships/chart" Target="charts/chart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chart" Target="charts/chart6.xml"/><Relationship Id="rId10" Type="http://schemas.openxmlformats.org/officeDocument/2006/relationships/hyperlink" Target="http://www.roskazna.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User\&#1052;&#1086;&#1080;%20&#1076;&#1086;&#1082;&#1091;&#1084;&#1077;&#1085;&#1090;&#1099;\&#1050;&#1086;&#1083;&#1083;&#1077;&#1075;&#1080;&#1103;%20&#1052;&#1080;&#1085;&#1092;&#1080;&#1085;&#1072;%20&#1063;&#1056;%20&#1079;&#1072;%202012%20&#1075;&#1086;&#1076;\&#1058;&#1072;&#1073;&#1083;&#1080;&#1094;&#1099;\&#1048;&#1089;&#1090;&#1086;&#1095;&#1085;&#1080;&#1082;&#1080;%20&#1076;&#1072;&#1085;&#1085;&#1099;&#1093;\&#1050;&#1085;&#1080;&#1075;&#107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uslim\Desktop\&#1050;&#1086;&#1083;&#1083;&#1077;&#1075;&#1080;&#1103;%20&#1052;&#1060;&#1063;&#1056;\&#1043;&#1086;&#1090;&#1086;&#1074;&#1099;&#1077;\&#1044;&#1086;&#1093;&#1086;&#1076;&#1099;\&#1044;&#1086;&#1093;&#1086;&#1076;&#1099;%20&#1087;&#1086;%20&#1057;&#1050;&#1060;&#1054;2013.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Muslim\Desktop\&#1050;&#1086;&#1083;&#1083;&#1077;&#1075;&#1080;&#1103;%20&#1052;&#1060;&#1063;&#1056;\&#1043;&#1086;&#1090;&#1086;&#1074;&#1099;&#1077;\&#1056;&#1072;&#1089;&#1093;&#1086;&#1076;&#1099;\&#1088;&#1072;&#1089;&#1093;&#1086;&#1076;&#1099;%20&#1087;&#1086;%20&#1057;&#1050;&#1060;&#1054;%202013%20&#1075;&#1086;&#1076;.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Muslim\Desktop\&#1050;&#1086;&#1083;&#1083;&#1077;&#1075;&#1080;&#1103;%20&#1052;&#1060;&#1063;&#1056;\&#1043;&#1086;&#1090;&#1086;&#1074;&#1099;&#1077;\&#1044;&#1086;&#1093;&#1086;&#1076;&#1099;\&#1044;&#1086;&#1093;&#1086;&#1076;&#1099;%20&#1087;&#1086;%20&#1050;&#1041;&#1050;%20201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Muslim\Desktop\&#1050;&#1086;&#1083;&#1083;&#1077;&#1075;&#1080;&#1103;%20&#1052;&#1060;&#1063;&#1056;\&#1043;&#1086;&#1090;&#1086;&#1074;&#1099;&#1077;\&#1056;&#1072;&#1089;&#1093;&#1086;&#1076;&#1099;\&#1044;&#1080;&#1085;&#1072;&#1084;&#1080;&#1082;&#1072;%20&#1091;&#1074;%20&#1088;&#1072;&#1089;&#1093;%20&#1082;&#1086;&#1085;&#1089;%20&#1073;&#1076;%202013%20&#1075;&#1086;&#1076;.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Muslim\Desktop\&#1050;&#1086;&#1083;&#1083;&#1077;&#1075;&#1080;&#1103;%20&#1052;&#1060;&#1063;&#1056;\&#1043;&#1086;&#1090;&#1086;&#1074;&#1099;&#1077;\&#1056;&#1072;&#1089;&#1093;&#1086;&#1076;&#1099;\&#1056;&#1072;&#1089;&#1093;&#1086;&#1076;&#1099;%20&#1073;&#1102;&#1076;&#1078;&#1077;&#1090;&#1072;%20&#1087;&#1086;%20&#1060;&#1050;&#1056;%202013%20&#1089;&#1090;&#1088;&#1091;&#1082;&#1090;&#1091;&#1088;&#1072;.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Muslim\Desktop\&#1050;&#1086;&#1083;&#1083;&#1077;&#1075;&#1080;&#1103;%20&#1052;&#1060;&#1063;&#1056;\&#1043;&#1086;&#1090;&#1086;&#1074;&#1099;&#1077;\&#1056;&#1072;&#1089;&#1093;&#1086;&#1076;&#1099;\&#1056;&#1072;&#1089;&#1093;%20&#1073;&#1102;&#1076;&#1078;&#1077;&#1090;&#1086;&#1074;%20&#1087;&#1086;%20&#1069;&#1050;&#1056;2013.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Muslim\Desktop\&#1050;&#1086;&#1083;&#1083;&#1077;&#1075;&#1080;&#1103;%20&#1052;&#1060;&#1063;&#1056;\&#1043;&#1086;&#1090;&#1086;&#1074;&#1099;&#1077;\&#1056;&#1072;&#1089;&#1093;&#1086;&#1076;&#1099;\&#1057;&#1086;&#1086;&#1090;&#1085;&#1086;&#1096;%20&#1082;&#1072;&#1087;%20&#1088;&#1072;&#1089;&#1093;%202013%20&#1075;&#1086;&#1076;.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00"/>
            </a:pPr>
            <a:r>
              <a:rPr lang="ru-RU" sz="1300" b="1" i="0" u="none" strike="noStrike" baseline="0">
                <a:effectLst/>
                <a:latin typeface="Times New Roman" pitchFamily="18" charset="0"/>
                <a:cs typeface="Times New Roman" pitchFamily="18" charset="0"/>
              </a:rPr>
              <a:t>Виды экономической деятельности занимающие наибольшую долю в объеме продукции обрабатывающих производств </a:t>
            </a:r>
            <a:endParaRPr lang="ru-RU" sz="1300">
              <a:latin typeface="Times New Roman" pitchFamily="18" charset="0"/>
              <a:cs typeface="Times New Roman" pitchFamily="18" charset="0"/>
            </a:endParaRPr>
          </a:p>
        </c:rich>
      </c:tx>
      <c:layout>
        <c:manualLayout>
          <c:xMode val="edge"/>
          <c:yMode val="edge"/>
          <c:x val="0.14041288373296379"/>
          <c:y val="0"/>
        </c:manualLayout>
      </c:layout>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0.17267419987341381"/>
          <c:y val="0.35897636311347186"/>
          <c:w val="0.6703907795673939"/>
          <c:h val="0.50790111245223157"/>
        </c:manualLayout>
      </c:layout>
      <c:pie3DChart>
        <c:varyColors val="1"/>
        <c:ser>
          <c:idx val="0"/>
          <c:order val="0"/>
          <c:explosion val="25"/>
          <c:dLbls>
            <c:dLbl>
              <c:idx val="0"/>
              <c:layout>
                <c:manualLayout>
                  <c:x val="5.8110058052068765E-2"/>
                  <c:y val="-6.0804948443872582E-2"/>
                </c:manualLayout>
              </c:layout>
              <c:tx>
                <c:rich>
                  <a:bodyPr anchorCtr="0"/>
                  <a:lstStyle/>
                  <a:p>
                    <a:pPr algn="ctr">
                      <a:defRPr sz="900" b="1">
                        <a:latin typeface="Times New Roman" pitchFamily="18" charset="0"/>
                        <a:cs typeface="Times New Roman" pitchFamily="18" charset="0"/>
                      </a:defRPr>
                    </a:pPr>
                    <a:r>
                      <a:rPr lang="ru-RU"/>
                      <a:t>производство прочих неметаллических минеральных продуктов</a:t>
                    </a:r>
                  </a:p>
                  <a:p>
                    <a:pPr algn="ctr">
                      <a:defRPr sz="900" b="1">
                        <a:latin typeface="Times New Roman" pitchFamily="18" charset="0"/>
                        <a:cs typeface="Times New Roman" pitchFamily="18" charset="0"/>
                      </a:defRPr>
                    </a:pPr>
                    <a:r>
                      <a:rPr lang="ru-RU"/>
                      <a:t>42,3</a:t>
                    </a:r>
                  </a:p>
                </c:rich>
              </c:tx>
              <c:spPr>
                <a:noFill/>
                <a:ln>
                  <a:noFill/>
                </a:ln>
                <a:effectLst/>
              </c:spPr>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4.3949272094001464E-2"/>
                  <c:y val="-4.5738725232696087E-3"/>
                </c:manualLayout>
              </c:layout>
              <c:tx>
                <c:rich>
                  <a:bodyPr/>
                  <a:lstStyle/>
                  <a:p>
                    <a:r>
                      <a:rPr lang="ru-RU"/>
                      <a:t>производство пищевых продуктов, включая напитки и табак</a:t>
                    </a:r>
                  </a:p>
                  <a:p>
                    <a:r>
                      <a:rPr lang="ru-RU"/>
                      <a:t>19,1</a:t>
                    </a:r>
                  </a:p>
                </c:rich>
              </c:tx>
              <c:showLegendKey val="0"/>
              <c:showVal val="1"/>
              <c:showCatName val="1"/>
              <c:showSerName val="0"/>
              <c:showPercent val="0"/>
              <c:showBubbleSize val="0"/>
              <c:extLst>
                <c:ext xmlns:c15="http://schemas.microsoft.com/office/drawing/2012/chart" uri="{CE6537A1-D6FC-4f65-9D91-7224C49458BB}">
                  <c15:layout/>
                </c:ext>
              </c:extLst>
            </c:dLbl>
            <c:dLbl>
              <c:idx val="2"/>
              <c:layout>
                <c:manualLayout>
                  <c:x val="-0.1204635772749396"/>
                  <c:y val="4.0352555968057043E-2"/>
                </c:manualLayout>
              </c:layout>
              <c:tx>
                <c:rich>
                  <a:bodyPr/>
                  <a:lstStyle/>
                  <a:p>
                    <a:r>
                      <a:rPr lang="ru-RU"/>
                      <a:t>производство транспортных средств и оборудования</a:t>
                    </a:r>
                  </a:p>
                  <a:p>
                    <a:r>
                      <a:rPr lang="ru-RU"/>
                      <a:t>15,6</a:t>
                    </a:r>
                  </a:p>
                </c:rich>
              </c:tx>
              <c:showLegendKey val="0"/>
              <c:showVal val="1"/>
              <c:showCatName val="1"/>
              <c:showSerName val="0"/>
              <c:showPercent val="0"/>
              <c:showBubbleSize val="0"/>
              <c:extLst>
                <c:ext xmlns:c15="http://schemas.microsoft.com/office/drawing/2012/chart" uri="{CE6537A1-D6FC-4f65-9D91-7224C49458BB}">
                  <c15:layout/>
                </c:ext>
              </c:extLst>
            </c:dLbl>
            <c:dLbl>
              <c:idx val="3"/>
              <c:layout/>
              <c:tx>
                <c:rich>
                  <a:bodyPr/>
                  <a:lstStyle/>
                  <a:p>
                    <a:r>
                      <a:rPr lang="ru-RU"/>
                      <a:t>производство электрических машин и электрооборудования 13,3</a:t>
                    </a:r>
                  </a:p>
                </c:rich>
              </c:tx>
              <c:showLegendKey val="0"/>
              <c:showVal val="1"/>
              <c:showCatName val="1"/>
              <c:showSerName val="0"/>
              <c:showPercent val="0"/>
              <c:showBubbleSize val="0"/>
              <c:extLst>
                <c:ext xmlns:c15="http://schemas.microsoft.com/office/drawing/2012/chart" uri="{CE6537A1-D6FC-4f65-9D91-7224C49458BB}">
                  <c15:layout/>
                </c:ext>
              </c:extLst>
            </c:dLbl>
            <c:spPr>
              <a:noFill/>
              <a:ln>
                <a:noFill/>
              </a:ln>
              <a:effectLst/>
            </c:spPr>
            <c:txPr>
              <a:bodyPr/>
              <a:lstStyle/>
              <a:p>
                <a:pPr>
                  <a:defRPr sz="900" b="1">
                    <a:latin typeface="Times New Roman" pitchFamily="18" charset="0"/>
                    <a:cs typeface="Times New Roman" pitchFamily="18" charset="0"/>
                  </a:defRPr>
                </a:pPr>
                <a:endParaRPr lang="ru-RU"/>
              </a:p>
            </c:txPr>
            <c:showLegendKey val="0"/>
            <c:showVal val="1"/>
            <c:showCatName val="1"/>
            <c:showSerName val="0"/>
            <c:showPercent val="0"/>
            <c:showBubbleSize val="0"/>
            <c:showLeaderLines val="1"/>
            <c:extLst>
              <c:ext xmlns:c15="http://schemas.microsoft.com/office/drawing/2012/chart" uri="{CE6537A1-D6FC-4f65-9D91-7224C49458BB}"/>
            </c:extLst>
          </c:dLbls>
          <c:cat>
            <c:strRef>
              <c:f>Лист6!$B$6:$B$9</c:f>
              <c:strCache>
                <c:ptCount val="4"/>
                <c:pt idx="0">
                  <c:v>как производство прочих неметаллических минеральных продуктов</c:v>
                </c:pt>
                <c:pt idx="1">
                  <c:v>производство пищевых продуктов, включая напитки и табак</c:v>
                </c:pt>
                <c:pt idx="2">
                  <c:v>производство транспортных средств и оборудования</c:v>
                </c:pt>
                <c:pt idx="3">
                  <c:v>производство электрических машин и электрооборудования</c:v>
                </c:pt>
              </c:strCache>
            </c:strRef>
          </c:cat>
          <c:val>
            <c:numRef>
              <c:f>Лист6!$C$6:$C$9</c:f>
              <c:numCache>
                <c:formatCode>#,##0.0</c:formatCode>
                <c:ptCount val="4"/>
                <c:pt idx="0">
                  <c:v>42.3</c:v>
                </c:pt>
                <c:pt idx="1">
                  <c:v>19.100000000000001</c:v>
                </c:pt>
                <c:pt idx="2">
                  <c:v>15.6</c:v>
                </c:pt>
                <c:pt idx="3">
                  <c:v>13.3</c:v>
                </c:pt>
              </c:numCache>
            </c:numRef>
          </c:val>
        </c:ser>
        <c:dLbls>
          <c:showLegendKey val="0"/>
          <c:showVal val="1"/>
          <c:showCatName val="0"/>
          <c:showSerName val="0"/>
          <c:showPercent val="0"/>
          <c:showBubbleSize val="0"/>
          <c:showLeaderLines val="1"/>
        </c:dLbls>
      </c:pie3DChart>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0" i="0" u="none" strike="noStrike" baseline="0">
                <a:solidFill>
                  <a:srgbClr val="000000"/>
                </a:solidFill>
                <a:latin typeface="Arial Cyr"/>
                <a:ea typeface="Arial Cyr"/>
                <a:cs typeface="Arial Cyr"/>
              </a:defRPr>
            </a:pPr>
            <a:r>
              <a:rPr lang="ru-RU" sz="1100" b="1" i="0" u="none" strike="noStrike" baseline="0">
                <a:solidFill>
                  <a:srgbClr val="000000"/>
                </a:solidFill>
                <a:latin typeface="Times New Roman"/>
                <a:cs typeface="Times New Roman"/>
              </a:rPr>
              <a:t>Динамика увеличения налоговых и неналоговых поступлений на душу населения </a:t>
            </a:r>
          </a:p>
          <a:p>
            <a:pPr>
              <a:defRPr sz="1100" b="0" i="0" u="none" strike="noStrike" baseline="0">
                <a:solidFill>
                  <a:srgbClr val="000000"/>
                </a:solidFill>
                <a:latin typeface="Arial Cyr"/>
                <a:ea typeface="Arial Cyr"/>
                <a:cs typeface="Arial Cyr"/>
              </a:defRPr>
            </a:pPr>
            <a:r>
              <a:rPr lang="ru-RU" sz="1100" b="1" i="0" u="none" strike="noStrike" baseline="0">
                <a:solidFill>
                  <a:srgbClr val="000000"/>
                </a:solidFill>
                <a:latin typeface="Times New Roman"/>
                <a:cs typeface="Times New Roman"/>
              </a:rPr>
              <a:t>по СКФО за 2012-2013 годы</a:t>
            </a:r>
          </a:p>
        </c:rich>
      </c:tx>
      <c:layout>
        <c:manualLayout>
          <c:xMode val="edge"/>
          <c:yMode val="edge"/>
          <c:x val="0.14981416902045561"/>
          <c:y val="8.3324344730881239E-4"/>
        </c:manualLayout>
      </c:layout>
      <c:overlay val="0"/>
      <c:spPr>
        <a:noFill/>
        <a:ln w="25400">
          <a:noFill/>
        </a:ln>
      </c:spPr>
    </c:title>
    <c:autoTitleDeleted val="0"/>
    <c:view3D>
      <c:rotX val="44"/>
      <c:hPercent val="54"/>
      <c:rotY val="44"/>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3127714747079461"/>
          <c:y val="8.6461414396508271E-2"/>
          <c:w val="0.84225101120876922"/>
          <c:h val="0.62226386941358358"/>
        </c:manualLayout>
      </c:layout>
      <c:bar3DChart>
        <c:barDir val="col"/>
        <c:grouping val="clustered"/>
        <c:varyColors val="0"/>
        <c:ser>
          <c:idx val="0"/>
          <c:order val="0"/>
          <c:tx>
            <c:strRef>
              <c:f>Лист1!$F$6</c:f>
              <c:strCache>
                <c:ptCount val="1"/>
                <c:pt idx="0">
                  <c:v>Налоговы и неналоговые поступления в расчете на душу населения 2012 год, руб.</c:v>
                </c:pt>
              </c:strCache>
            </c:strRef>
          </c:tx>
          <c:spPr>
            <a:solidFill>
              <a:schemeClr val="tx2">
                <a:lumMod val="60000"/>
                <a:lumOff val="40000"/>
              </a:schemeClr>
            </a:solidFill>
            <a:ln w="12700">
              <a:solidFill>
                <a:srgbClr val="000000"/>
              </a:solidFill>
              <a:prstDash val="solid"/>
            </a:ln>
          </c:spPr>
          <c:invertIfNegative val="0"/>
          <c:dPt>
            <c:idx val="5"/>
            <c:invertIfNegative val="0"/>
            <c:bubble3D val="0"/>
            <c:spPr>
              <a:solidFill>
                <a:srgbClr val="0070C0"/>
              </a:solidFill>
              <a:ln w="12700">
                <a:solidFill>
                  <a:srgbClr val="000000"/>
                </a:solidFill>
                <a:prstDash val="solid"/>
              </a:ln>
            </c:spPr>
          </c:dPt>
          <c:dLbls>
            <c:dLbl>
              <c:idx val="0"/>
              <c:layout>
                <c:manualLayout>
                  <c:x val="-4.9698791385208749E-4"/>
                  <c:y val="0.10914421135416481"/>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9762149783554874E-3"/>
                  <c:y val="0.11104136719541609"/>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4456728196503442E-4"/>
                  <c:y val="0.12308580776649485"/>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7.6110725143681518E-4"/>
                  <c:y val="0.121267192581058"/>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3182932043875399E-4"/>
                  <c:y val="0.12509783456691864"/>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1.0517729346565062E-4"/>
                  <c:y val="0.10853016622688799"/>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3869894343864228E-4"/>
                  <c:y val="0.12439159866984889"/>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5400">
                <a:noFill/>
              </a:ln>
            </c:spPr>
            <c:txPr>
              <a:bodyPr rot="-5400000" vert="horz"/>
              <a:lstStyle/>
              <a:p>
                <a:pPr algn="ctr">
                  <a:defRPr sz="1100" b="1" i="0" u="none" strike="noStrike" baseline="0">
                    <a:solidFill>
                      <a:srgbClr val="000000"/>
                    </a:solidFill>
                    <a:latin typeface="Times New Roman" pitchFamily="18" charset="0"/>
                    <a:ea typeface="Arial Cyr"/>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Лист1!$B$9:$B$15</c:f>
              <c:strCache>
                <c:ptCount val="7"/>
                <c:pt idx="0">
                  <c:v>Республика Дагестан</c:v>
                </c:pt>
                <c:pt idx="1">
                  <c:v>Республика Ингушетия</c:v>
                </c:pt>
                <c:pt idx="2">
                  <c:v>Кабардино-Балкарская республика</c:v>
                </c:pt>
                <c:pt idx="3">
                  <c:v>Карачаево-Черкесская республика</c:v>
                </c:pt>
                <c:pt idx="4">
                  <c:v>Республика Северная Осетия</c:v>
                </c:pt>
                <c:pt idx="5">
                  <c:v>Чеченская Республика</c:v>
                </c:pt>
                <c:pt idx="6">
                  <c:v>Ставропольский край</c:v>
                </c:pt>
              </c:strCache>
            </c:strRef>
          </c:cat>
          <c:val>
            <c:numRef>
              <c:f>Лист1!$F$9:$F$15</c:f>
              <c:numCache>
                <c:formatCode>#,##0.0</c:formatCode>
                <c:ptCount val="7"/>
                <c:pt idx="0">
                  <c:v>7543.4614888417818</c:v>
                </c:pt>
                <c:pt idx="1">
                  <c:v>6329.4917481995681</c:v>
                </c:pt>
                <c:pt idx="2">
                  <c:v>12724.528631147943</c:v>
                </c:pt>
                <c:pt idx="3">
                  <c:v>11974.134086706074</c:v>
                </c:pt>
                <c:pt idx="4">
                  <c:v>13041.638559103725</c:v>
                </c:pt>
                <c:pt idx="5">
                  <c:v>8794.4568569944749</c:v>
                </c:pt>
                <c:pt idx="6">
                  <c:v>20127.903911326026</c:v>
                </c:pt>
              </c:numCache>
            </c:numRef>
          </c:val>
        </c:ser>
        <c:ser>
          <c:idx val="1"/>
          <c:order val="1"/>
          <c:tx>
            <c:strRef>
              <c:f>Лист1!$G$6</c:f>
              <c:strCache>
                <c:ptCount val="1"/>
                <c:pt idx="0">
                  <c:v>Налоговы и неналоговые поступления в расчете на душу населения 2013 год, руб.</c:v>
                </c:pt>
              </c:strCache>
            </c:strRef>
          </c:tx>
          <c:spPr>
            <a:solidFill>
              <a:srgbClr val="FF9900"/>
            </a:solidFill>
            <a:ln w="12700">
              <a:solidFill>
                <a:srgbClr val="000000"/>
              </a:solidFill>
              <a:prstDash val="solid"/>
            </a:ln>
          </c:spPr>
          <c:invertIfNegative val="0"/>
          <c:dPt>
            <c:idx val="5"/>
            <c:invertIfNegative val="0"/>
            <c:bubble3D val="0"/>
            <c:spPr>
              <a:solidFill>
                <a:schemeClr val="accent6">
                  <a:lumMod val="75000"/>
                </a:schemeClr>
              </a:solidFill>
              <a:ln w="12700">
                <a:solidFill>
                  <a:srgbClr val="000000"/>
                </a:solidFill>
                <a:prstDash val="solid"/>
              </a:ln>
            </c:spPr>
          </c:dPt>
          <c:dLbls>
            <c:dLbl>
              <c:idx val="0"/>
              <c:layout>
                <c:manualLayout>
                  <c:x val="-4.5128787579670537E-4"/>
                  <c:y val="0.11140257021146127"/>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7.1473515399820729E-4"/>
                  <c:y val="0.10821264357557385"/>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2463584882368028E-4"/>
                  <c:y val="0.1262902245233748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1334768740165882E-4"/>
                  <c:y val="0.12811786978421266"/>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4751703460517772E-4"/>
                  <c:y val="0.1242074271320165"/>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3471673957109287E-3"/>
                  <c:y val="0.11456834664569449"/>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1.5895884560358188E-3"/>
                  <c:y val="0.1220326489726189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5400">
                <a:noFill/>
              </a:ln>
            </c:spPr>
            <c:txPr>
              <a:bodyPr rot="-5400000" vert="horz"/>
              <a:lstStyle/>
              <a:p>
                <a:pPr algn="ctr">
                  <a:defRPr sz="1100" b="1" i="0" u="none" strike="noStrike" baseline="0">
                    <a:solidFill>
                      <a:srgbClr val="000000"/>
                    </a:solidFill>
                    <a:latin typeface="Times New Roman" pitchFamily="18" charset="0"/>
                    <a:ea typeface="Arial Cyr"/>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Лист1!$B$9:$B$15</c:f>
              <c:strCache>
                <c:ptCount val="7"/>
                <c:pt idx="0">
                  <c:v>Республика Дагестан</c:v>
                </c:pt>
                <c:pt idx="1">
                  <c:v>Республика Ингушетия</c:v>
                </c:pt>
                <c:pt idx="2">
                  <c:v>Кабардино-Балкарская республика</c:v>
                </c:pt>
                <c:pt idx="3">
                  <c:v>Карачаево-Черкесская республика</c:v>
                </c:pt>
                <c:pt idx="4">
                  <c:v>Республика Северная Осетия</c:v>
                </c:pt>
                <c:pt idx="5">
                  <c:v>Чеченская Республика</c:v>
                </c:pt>
                <c:pt idx="6">
                  <c:v>Ставропольский край</c:v>
                </c:pt>
              </c:strCache>
            </c:strRef>
          </c:cat>
          <c:val>
            <c:numRef>
              <c:f>Лист1!$G$9:$G$15</c:f>
              <c:numCache>
                <c:formatCode>#,##0.0</c:formatCode>
                <c:ptCount val="7"/>
                <c:pt idx="0">
                  <c:v>8706.0051930923855</c:v>
                </c:pt>
                <c:pt idx="1">
                  <c:v>6725.8171405929224</c:v>
                </c:pt>
                <c:pt idx="2">
                  <c:v>13609.11564680445</c:v>
                </c:pt>
                <c:pt idx="3">
                  <c:v>13864.383781077267</c:v>
                </c:pt>
                <c:pt idx="4">
                  <c:v>15114.465575849777</c:v>
                </c:pt>
                <c:pt idx="5">
                  <c:v>9098.2630501441581</c:v>
                </c:pt>
                <c:pt idx="6">
                  <c:v>21863.108696400224</c:v>
                </c:pt>
              </c:numCache>
            </c:numRef>
          </c:val>
        </c:ser>
        <c:dLbls>
          <c:showLegendKey val="0"/>
          <c:showVal val="0"/>
          <c:showCatName val="0"/>
          <c:showSerName val="0"/>
          <c:showPercent val="0"/>
          <c:showBubbleSize val="0"/>
        </c:dLbls>
        <c:gapWidth val="150"/>
        <c:shape val="box"/>
        <c:axId val="142661360"/>
        <c:axId val="142521440"/>
        <c:axId val="0"/>
      </c:bar3DChart>
      <c:catAx>
        <c:axId val="142661360"/>
        <c:scaling>
          <c:orientation val="minMax"/>
        </c:scaling>
        <c:delete val="0"/>
        <c:axPos val="b"/>
        <c:numFmt formatCode="General" sourceLinked="1"/>
        <c:majorTickMark val="out"/>
        <c:minorTickMark val="none"/>
        <c:tickLblPos val="low"/>
        <c:spPr>
          <a:ln w="3175">
            <a:solidFill>
              <a:srgbClr val="000000"/>
            </a:solidFill>
            <a:prstDash val="solid"/>
          </a:ln>
        </c:spPr>
        <c:txPr>
          <a:bodyPr rot="-1620000" vert="horz"/>
          <a:lstStyle/>
          <a:p>
            <a:pPr>
              <a:defRPr sz="900" b="1" i="0" u="none" strike="noStrike" baseline="0">
                <a:solidFill>
                  <a:srgbClr val="000000"/>
                </a:solidFill>
                <a:latin typeface="Times New Roman" pitchFamily="18" charset="0"/>
                <a:ea typeface="Arial Cyr"/>
                <a:cs typeface="Times New Roman" pitchFamily="18" charset="0"/>
              </a:defRPr>
            </a:pPr>
            <a:endParaRPr lang="ru-RU"/>
          </a:p>
        </c:txPr>
        <c:crossAx val="142521440"/>
        <c:crosses val="autoZero"/>
        <c:auto val="1"/>
        <c:lblAlgn val="ctr"/>
        <c:lblOffset val="100"/>
        <c:tickLblSkip val="1"/>
        <c:tickMarkSkip val="1"/>
        <c:noMultiLvlLbl val="0"/>
      </c:catAx>
      <c:valAx>
        <c:axId val="142521440"/>
        <c:scaling>
          <c:orientation val="minMax"/>
        </c:scaling>
        <c:delete val="0"/>
        <c:axPos val="l"/>
        <c:majorGridlines>
          <c:spPr>
            <a:ln w="3175">
              <a:solidFill>
                <a:srgbClr val="000000"/>
              </a:solidFill>
              <a:prstDash val="solid"/>
            </a:ln>
          </c:spPr>
        </c:majorGridlines>
        <c:title>
          <c:tx>
            <c:rich>
              <a:bodyPr/>
              <a:lstStyle/>
              <a:p>
                <a:pPr>
                  <a:defRPr sz="1200" b="1" i="0" u="none" strike="noStrike" baseline="0">
                    <a:solidFill>
                      <a:srgbClr val="000000"/>
                    </a:solidFill>
                    <a:latin typeface="Times New Roman" pitchFamily="18" charset="0"/>
                    <a:ea typeface="Arial Cyr"/>
                    <a:cs typeface="Times New Roman" pitchFamily="18" charset="0"/>
                  </a:defRPr>
                </a:pPr>
                <a:r>
                  <a:rPr lang="ru-RU" sz="1200">
                    <a:latin typeface="Times New Roman" pitchFamily="18" charset="0"/>
                    <a:cs typeface="Times New Roman" pitchFamily="18" charset="0"/>
                  </a:rPr>
                  <a:t>Рублей</a:t>
                </a:r>
              </a:p>
            </c:rich>
          </c:tx>
          <c:layout>
            <c:manualLayout>
              <c:xMode val="edge"/>
              <c:yMode val="edge"/>
              <c:x val="6.1476632075210867E-4"/>
              <c:y val="0.36151549865441379"/>
            </c:manualLayout>
          </c:layout>
          <c:overlay val="0"/>
          <c:spPr>
            <a:noFill/>
            <a:ln w="25400">
              <a:noFill/>
            </a:ln>
          </c:spPr>
        </c:title>
        <c:numFmt formatCode="#,##0.0" sourceLinked="1"/>
        <c:majorTickMark val="out"/>
        <c:minorTickMark val="none"/>
        <c:tickLblPos val="nextTo"/>
        <c:spPr>
          <a:ln w="3175">
            <a:solidFill>
              <a:srgbClr val="000000"/>
            </a:solidFill>
            <a:prstDash val="solid"/>
          </a:ln>
        </c:spPr>
        <c:txPr>
          <a:bodyPr rot="0" vert="horz"/>
          <a:lstStyle/>
          <a:p>
            <a:pPr>
              <a:defRPr sz="1050" b="1" i="0" u="none" strike="noStrike" baseline="0">
                <a:solidFill>
                  <a:srgbClr val="000000"/>
                </a:solidFill>
                <a:latin typeface="Times New Roman" pitchFamily="18" charset="0"/>
                <a:ea typeface="Arial Cyr"/>
                <a:cs typeface="Times New Roman" pitchFamily="18" charset="0"/>
              </a:defRPr>
            </a:pPr>
            <a:endParaRPr lang="ru-RU"/>
          </a:p>
        </c:txPr>
        <c:crossAx val="142661360"/>
        <c:crosses val="autoZero"/>
        <c:crossBetween val="between"/>
      </c:valAx>
      <c:spPr>
        <a:noFill/>
        <a:ln w="25400">
          <a:noFill/>
        </a:ln>
      </c:spPr>
    </c:plotArea>
    <c:legend>
      <c:legendPos val="r"/>
      <c:legendEntry>
        <c:idx val="0"/>
        <c:txPr>
          <a:bodyPr/>
          <a:lstStyle/>
          <a:p>
            <a:pPr>
              <a:defRPr sz="900" b="1" i="0" u="none" strike="noStrike" baseline="0">
                <a:ln>
                  <a:noFill/>
                </a:ln>
                <a:solidFill>
                  <a:srgbClr val="000000"/>
                </a:solidFill>
                <a:latin typeface="Times New Roman" pitchFamily="18" charset="0"/>
                <a:ea typeface="Arial Cyr"/>
                <a:cs typeface="Times New Roman" pitchFamily="18" charset="0"/>
              </a:defRPr>
            </a:pPr>
            <a:endParaRPr lang="ru-RU"/>
          </a:p>
        </c:txPr>
      </c:legendEntry>
      <c:layout>
        <c:manualLayout>
          <c:xMode val="edge"/>
          <c:yMode val="edge"/>
          <c:x val="3.0640177993782842E-2"/>
          <c:y val="0.91405997195556032"/>
          <c:w val="0.93421099416681141"/>
          <c:h val="8.397062524718657E-2"/>
        </c:manualLayout>
      </c:layout>
      <c:overlay val="0"/>
      <c:spPr>
        <a:solidFill>
          <a:srgbClr val="FFFFFF"/>
        </a:solidFill>
        <a:ln w="25400">
          <a:noFill/>
        </a:ln>
      </c:spPr>
      <c:txPr>
        <a:bodyPr/>
        <a:lstStyle/>
        <a:p>
          <a:pPr>
            <a:defRPr sz="900" b="1" i="0" u="none" strike="noStrike" baseline="0">
              <a:solidFill>
                <a:srgbClr val="000000"/>
              </a:solidFill>
              <a:latin typeface="Times New Roman" pitchFamily="18" charset="0"/>
              <a:ea typeface="Arial Cyr"/>
              <a:cs typeface="Times New Roman" pitchFamily="18" charset="0"/>
            </a:defRPr>
          </a:pPr>
          <a:endParaRPr lang="ru-RU"/>
        </a:p>
      </c:txPr>
    </c:legend>
    <c:plotVisOnly val="1"/>
    <c:dispBlanksAs val="gap"/>
    <c:showDLblsOverMax val="0"/>
  </c:chart>
  <c:spPr>
    <a:solidFill>
      <a:srgbClr val="FFFFFF"/>
    </a:solidFill>
    <a:ln w="9525">
      <a:noFill/>
    </a:ln>
  </c:spPr>
  <c:txPr>
    <a:bodyPr/>
    <a:lstStyle/>
    <a:p>
      <a:pPr>
        <a:defRPr sz="1700" b="0"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i="0" u="none" strike="noStrike" baseline="0">
                <a:solidFill>
                  <a:srgbClr val="000000"/>
                </a:solidFill>
                <a:latin typeface="Times New Roman" pitchFamily="18" charset="0"/>
                <a:ea typeface="Arial Cyr"/>
                <a:cs typeface="Times New Roman" pitchFamily="18" charset="0"/>
              </a:defRPr>
            </a:pPr>
            <a:r>
              <a:rPr lang="ru-RU" sz="1100">
                <a:latin typeface="Times New Roman" pitchFamily="18" charset="0"/>
                <a:cs typeface="Times New Roman" pitchFamily="18" charset="0"/>
              </a:rPr>
              <a:t>Расходы консолидированных бюджетов субъектов СКФО в расчете на душу населения </a:t>
            </a:r>
          </a:p>
          <a:p>
            <a:pPr>
              <a:defRPr sz="1100" b="1" i="0" u="none" strike="noStrike" baseline="0">
                <a:solidFill>
                  <a:srgbClr val="000000"/>
                </a:solidFill>
                <a:latin typeface="Times New Roman" pitchFamily="18" charset="0"/>
                <a:ea typeface="Arial Cyr"/>
                <a:cs typeface="Times New Roman" pitchFamily="18" charset="0"/>
              </a:defRPr>
            </a:pPr>
            <a:r>
              <a:rPr lang="ru-RU" sz="1100">
                <a:latin typeface="Times New Roman" pitchFamily="18" charset="0"/>
                <a:cs typeface="Times New Roman" pitchFamily="18" charset="0"/>
              </a:rPr>
              <a:t>за 2013 год
</a:t>
            </a:r>
          </a:p>
        </c:rich>
      </c:tx>
      <c:layout>
        <c:manualLayout>
          <c:xMode val="edge"/>
          <c:yMode val="edge"/>
          <c:x val="0.11483750506796406"/>
          <c:y val="8.9766606822262122E-3"/>
        </c:manualLayout>
      </c:layout>
      <c:overlay val="0"/>
      <c:spPr>
        <a:noFill/>
        <a:ln w="25400">
          <a:noFill/>
        </a:ln>
      </c:spPr>
    </c:title>
    <c:autoTitleDeleted val="0"/>
    <c:view3D>
      <c:rotX val="15"/>
      <c:hPercent val="50"/>
      <c:rotY val="20"/>
      <c:depthPercent val="100"/>
      <c:rAngAx val="1"/>
    </c:view3D>
    <c:floor>
      <c:thickness val="0"/>
      <c:spPr>
        <a:solidFill>
          <a:srgbClr val="C0C0C0"/>
        </a:solidFill>
        <a:ln w="3175">
          <a:solidFill>
            <a:srgbClr val="000000"/>
          </a:solidFill>
          <a:prstDash val="solid"/>
        </a:ln>
      </c:spPr>
    </c:floor>
    <c:sideWall>
      <c:thickness val="0"/>
      <c:spPr>
        <a:solidFill>
          <a:srgbClr val="99CCFF"/>
        </a:solidFill>
        <a:ln w="12700">
          <a:solidFill>
            <a:srgbClr val="808080"/>
          </a:solidFill>
          <a:prstDash val="solid"/>
        </a:ln>
      </c:spPr>
    </c:sideWall>
    <c:backWall>
      <c:thickness val="0"/>
      <c:spPr>
        <a:solidFill>
          <a:srgbClr val="99CCFF"/>
        </a:solidFill>
        <a:ln w="12700">
          <a:solidFill>
            <a:srgbClr val="808080"/>
          </a:solidFill>
          <a:prstDash val="solid"/>
        </a:ln>
      </c:spPr>
    </c:backWall>
    <c:plotArea>
      <c:layout>
        <c:manualLayout>
          <c:layoutTarget val="inner"/>
          <c:xMode val="edge"/>
          <c:yMode val="edge"/>
          <c:x val="0.10569127029852975"/>
          <c:y val="0.12208258527827648"/>
          <c:w val="0.88753462219661561"/>
          <c:h val="0.57626017656883799"/>
        </c:manualLayout>
      </c:layout>
      <c:bar3DChart>
        <c:barDir val="col"/>
        <c:grouping val="clustered"/>
        <c:varyColors val="0"/>
        <c:ser>
          <c:idx val="0"/>
          <c:order val="0"/>
          <c:tx>
            <c:strRef>
              <c:f>Лист1!$F$3</c:f>
              <c:strCache>
                <c:ptCount val="1"/>
                <c:pt idx="0">
                  <c:v>Расходы консол-ных бюджетов в расчете на душу населения,
 руб.</c:v>
                </c:pt>
              </c:strCache>
            </c:strRef>
          </c:tx>
          <c:spPr>
            <a:solidFill>
              <a:srgbClr val="FF99CC"/>
            </a:solidFill>
            <a:ln w="12700">
              <a:solidFill>
                <a:srgbClr val="000000"/>
              </a:solidFill>
              <a:prstDash val="solid"/>
            </a:ln>
          </c:spPr>
          <c:invertIfNegative val="0"/>
          <c:dPt>
            <c:idx val="0"/>
            <c:invertIfNegative val="0"/>
            <c:bubble3D val="0"/>
            <c:spPr>
              <a:solidFill>
                <a:schemeClr val="accent3">
                  <a:lumMod val="60000"/>
                  <a:lumOff val="40000"/>
                </a:schemeClr>
              </a:solidFill>
              <a:ln w="12700">
                <a:solidFill>
                  <a:srgbClr val="000000"/>
                </a:solidFill>
                <a:prstDash val="solid"/>
              </a:ln>
            </c:spPr>
          </c:dPt>
          <c:dPt>
            <c:idx val="6"/>
            <c:invertIfNegative val="0"/>
            <c:bubble3D val="0"/>
            <c:spPr>
              <a:solidFill>
                <a:srgbClr val="CC00FF"/>
              </a:solidFill>
              <a:ln w="12700">
                <a:solidFill>
                  <a:srgbClr val="000000"/>
                </a:solidFill>
                <a:prstDash val="solid"/>
              </a:ln>
            </c:spPr>
          </c:dPt>
          <c:dLbls>
            <c:dLbl>
              <c:idx val="0"/>
              <c:layout>
                <c:manualLayout>
                  <c:x val="-1.3945970168363101E-3"/>
                  <c:y val="0.2492039751763524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9.9758871604464067E-4"/>
                  <c:y val="0.1868977508870637"/>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6193372169942174E-4"/>
                  <c:y val="0.39502490375417604"/>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0367880844162771E-4"/>
                  <c:y val="0.19432448861307058"/>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4553058916415935E-4"/>
                  <c:y val="0.31652091962472373"/>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1.267737874229136E-3"/>
                  <c:y val="0.24284727425229835"/>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1.3841410067643983E-3"/>
                  <c:y val="0.35284128981184354"/>
                </c:manualLayout>
              </c:layou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1.3841410067643983E-3"/>
                  <c:y val="0.21753130050844183"/>
                </c:manualLayout>
              </c:layou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Mode val="edge"/>
                  <c:yMode val="edge"/>
                  <c:x val="0.89634235298204168"/>
                  <c:y val="0.47396768402154404"/>
                </c:manualLayout>
              </c:layout>
              <c:showLegendKey val="0"/>
              <c:showVal val="1"/>
              <c:showCatName val="0"/>
              <c:showSerName val="0"/>
              <c:showPercent val="0"/>
              <c:showBubbleSize val="0"/>
              <c:extLst>
                <c:ext xmlns:c15="http://schemas.microsoft.com/office/drawing/2012/chart" uri="{CE6537A1-D6FC-4f65-9D91-7224C49458BB}"/>
              </c:extLst>
            </c:dLbl>
            <c:dLbl>
              <c:idx val="9"/>
              <c:layout>
                <c:manualLayout>
                  <c:xMode val="edge"/>
                  <c:yMode val="edge"/>
                  <c:x val="0.90142365883794895"/>
                  <c:y val="0.45960502692998206"/>
                </c:manualLayout>
              </c:layout>
              <c:showLegendKey val="0"/>
              <c:showVal val="1"/>
              <c:showCatName val="0"/>
              <c:showSerName val="0"/>
              <c:showPercent val="0"/>
              <c:showBubbleSize val="0"/>
              <c:extLst>
                <c:ext xmlns:c15="http://schemas.microsoft.com/office/drawing/2012/chart" uri="{CE6537A1-D6FC-4f65-9D91-7224C49458BB}"/>
              </c:extLst>
            </c:dLbl>
            <c:dLbl>
              <c:idx val="10"/>
              <c:layout>
                <c:manualLayout>
                  <c:xMode val="edge"/>
                  <c:yMode val="edge"/>
                  <c:x val="0.90650496469385633"/>
                  <c:y val="0.45780969479353678"/>
                </c:manualLayout>
              </c:layout>
              <c:showLegendKey val="0"/>
              <c:showVal val="1"/>
              <c:showCatName val="0"/>
              <c:showSerName val="0"/>
              <c:showPercent val="0"/>
              <c:showBubbleSize val="0"/>
              <c:extLst>
                <c:ext xmlns:c15="http://schemas.microsoft.com/office/drawing/2012/chart" uri="{CE6537A1-D6FC-4f65-9D91-7224C49458BB}"/>
              </c:extLst>
            </c:dLbl>
            <c:dLbl>
              <c:idx val="11"/>
              <c:layout>
                <c:manualLayout>
                  <c:xMode val="edge"/>
                  <c:yMode val="edge"/>
                  <c:x val="0.90853748703621906"/>
                  <c:y val="0.50089766606822261"/>
                </c:manualLayout>
              </c:layout>
              <c:showLegendKey val="0"/>
              <c:showVal val="1"/>
              <c:showCatName val="0"/>
              <c:showSerName val="0"/>
              <c:showPercent val="0"/>
              <c:showBubbleSize val="0"/>
              <c:extLst>
                <c:ext xmlns:c15="http://schemas.microsoft.com/office/drawing/2012/chart" uri="{CE6537A1-D6FC-4f65-9D91-7224C49458BB}"/>
              </c:extLst>
            </c:dLbl>
            <c:dLbl>
              <c:idx val="12"/>
              <c:layout>
                <c:manualLayout>
                  <c:xMode val="edge"/>
                  <c:yMode val="edge"/>
                  <c:x val="0.91361879289212644"/>
                  <c:y val="0.48833034111310591"/>
                </c:manualLayout>
              </c:layout>
              <c:showLegendKey val="0"/>
              <c:showVal val="1"/>
              <c:showCatName val="0"/>
              <c:showSerName val="0"/>
              <c:showPercent val="0"/>
              <c:showBubbleSize val="0"/>
              <c:extLst>
                <c:ext xmlns:c15="http://schemas.microsoft.com/office/drawing/2012/chart" uri="{CE6537A1-D6FC-4f65-9D91-7224C49458BB}"/>
              </c:extLst>
            </c:dLbl>
            <c:dLbl>
              <c:idx val="13"/>
              <c:layout>
                <c:manualLayout>
                  <c:xMode val="edge"/>
                  <c:yMode val="edge"/>
                  <c:x val="0.91463505406330803"/>
                  <c:y val="0.46858168761220836"/>
                </c:manualLayout>
              </c:layout>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rot="-5400000" vert="horz"/>
              <a:lstStyle/>
              <a:p>
                <a:pPr algn="ctr">
                  <a:defRPr sz="1100" b="1" i="0" u="none" strike="noStrike" baseline="0">
                    <a:solidFill>
                      <a:srgbClr val="000000"/>
                    </a:solidFill>
                    <a:latin typeface="Times New Roman" pitchFamily="18" charset="0"/>
                    <a:ea typeface="Arial Cyr"/>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Лист1!$B$4:$B$11</c:f>
              <c:strCache>
                <c:ptCount val="8"/>
                <c:pt idx="0">
                  <c:v>В целом по СКФО</c:v>
                </c:pt>
                <c:pt idx="1">
                  <c:v>Республика Дагестан</c:v>
                </c:pt>
                <c:pt idx="2">
                  <c:v>Республика Ингушетия</c:v>
                </c:pt>
                <c:pt idx="3">
                  <c:v>Кабардино-Балкарская республика</c:v>
                </c:pt>
                <c:pt idx="4">
                  <c:v>Карачаево-Черкесская республика</c:v>
                </c:pt>
                <c:pt idx="5">
                  <c:v>Республика Северная Осетия</c:v>
                </c:pt>
                <c:pt idx="6">
                  <c:v>Чеченская Республика*</c:v>
                </c:pt>
                <c:pt idx="7">
                  <c:v>Ставропольский край</c:v>
                </c:pt>
              </c:strCache>
            </c:strRef>
          </c:cat>
          <c:val>
            <c:numRef>
              <c:f>Лист1!$F$4:$F$11</c:f>
              <c:numCache>
                <c:formatCode>#,##0.0</c:formatCode>
                <c:ptCount val="8"/>
                <c:pt idx="0">
                  <c:v>36850.657162033494</c:v>
                </c:pt>
                <c:pt idx="1">
                  <c:v>30169.522626948517</c:v>
                </c:pt>
                <c:pt idx="2">
                  <c:v>53120.686411205046</c:v>
                </c:pt>
                <c:pt idx="3">
                  <c:v>32239.524312957754</c:v>
                </c:pt>
                <c:pt idx="4">
                  <c:v>43901.55372714367</c:v>
                </c:pt>
                <c:pt idx="5">
                  <c:v>37390.266569149273</c:v>
                </c:pt>
                <c:pt idx="6">
                  <c:v>48791.460311421688</c:v>
                </c:pt>
                <c:pt idx="7">
                  <c:v>35641.083151556559</c:v>
                </c:pt>
              </c:numCache>
            </c:numRef>
          </c:val>
        </c:ser>
        <c:dLbls>
          <c:showLegendKey val="0"/>
          <c:showVal val="0"/>
          <c:showCatName val="0"/>
          <c:showSerName val="0"/>
          <c:showPercent val="0"/>
          <c:showBubbleSize val="0"/>
        </c:dLbls>
        <c:gapWidth val="150"/>
        <c:shape val="box"/>
        <c:axId val="143033608"/>
        <c:axId val="143033992"/>
        <c:axId val="0"/>
      </c:bar3DChart>
      <c:catAx>
        <c:axId val="143033608"/>
        <c:scaling>
          <c:orientation val="minMax"/>
        </c:scaling>
        <c:delete val="0"/>
        <c:axPos val="b"/>
        <c:numFmt formatCode="General" sourceLinked="1"/>
        <c:majorTickMark val="out"/>
        <c:minorTickMark val="none"/>
        <c:tickLblPos val="low"/>
        <c:spPr>
          <a:ln w="3175">
            <a:solidFill>
              <a:srgbClr val="000000"/>
            </a:solidFill>
            <a:prstDash val="solid"/>
          </a:ln>
        </c:spPr>
        <c:txPr>
          <a:bodyPr rot="-1800000" vert="horz"/>
          <a:lstStyle/>
          <a:p>
            <a:pPr>
              <a:defRPr sz="975" b="1" i="0" u="none" strike="noStrike" baseline="0">
                <a:solidFill>
                  <a:srgbClr val="000000"/>
                </a:solidFill>
                <a:latin typeface="Times New Roman" pitchFamily="18" charset="0"/>
                <a:ea typeface="Arial Cyr"/>
                <a:cs typeface="Times New Roman" pitchFamily="18" charset="0"/>
              </a:defRPr>
            </a:pPr>
            <a:endParaRPr lang="ru-RU"/>
          </a:p>
        </c:txPr>
        <c:crossAx val="143033992"/>
        <c:crosses val="autoZero"/>
        <c:auto val="1"/>
        <c:lblAlgn val="ctr"/>
        <c:lblOffset val="100"/>
        <c:tickLblSkip val="1"/>
        <c:tickMarkSkip val="1"/>
        <c:noMultiLvlLbl val="0"/>
      </c:catAx>
      <c:valAx>
        <c:axId val="143033992"/>
        <c:scaling>
          <c:orientation val="minMax"/>
        </c:scaling>
        <c:delete val="0"/>
        <c:axPos val="l"/>
        <c:majorGridlines>
          <c:spPr>
            <a:ln w="3175">
              <a:solidFill>
                <a:srgbClr val="000000"/>
              </a:solidFill>
              <a:prstDash val="solid"/>
            </a:ln>
          </c:spPr>
        </c:majorGridlines>
        <c:title>
          <c:tx>
            <c:rich>
              <a:bodyPr/>
              <a:lstStyle/>
              <a:p>
                <a:pPr>
                  <a:defRPr sz="1200" b="1" i="0" u="none" strike="noStrike" baseline="0">
                    <a:solidFill>
                      <a:srgbClr val="000000"/>
                    </a:solidFill>
                    <a:latin typeface="Times New Roman" pitchFamily="18" charset="0"/>
                    <a:ea typeface="Arial Cyr"/>
                    <a:cs typeface="Times New Roman" pitchFamily="18" charset="0"/>
                  </a:defRPr>
                </a:pPr>
                <a:r>
                  <a:rPr lang="ru-RU">
                    <a:latin typeface="Times New Roman" pitchFamily="18" charset="0"/>
                    <a:cs typeface="Times New Roman" pitchFamily="18" charset="0"/>
                  </a:rPr>
                  <a:t>Рублей</a:t>
                </a:r>
              </a:p>
            </c:rich>
          </c:tx>
          <c:layout>
            <c:manualLayout>
              <c:xMode val="edge"/>
              <c:yMode val="edge"/>
              <c:x val="6.847013441501632E-3"/>
              <c:y val="0.34707750272420013"/>
            </c:manualLayout>
          </c:layout>
          <c:overlay val="0"/>
          <c:spPr>
            <a:noFill/>
            <a:ln w="25400">
              <a:noFill/>
            </a:ln>
          </c:spPr>
        </c:title>
        <c:numFmt formatCode="#,##0.0" sourceLinked="1"/>
        <c:majorTickMark val="out"/>
        <c:minorTickMark val="none"/>
        <c:tickLblPos val="nextTo"/>
        <c:spPr>
          <a:ln w="3175">
            <a:solidFill>
              <a:srgbClr val="000000"/>
            </a:solidFill>
            <a:prstDash val="solid"/>
          </a:ln>
        </c:spPr>
        <c:txPr>
          <a:bodyPr rot="0" vert="horz"/>
          <a:lstStyle/>
          <a:p>
            <a:pPr>
              <a:defRPr sz="1050" b="1" i="0" u="none" strike="noStrike" baseline="0">
                <a:solidFill>
                  <a:srgbClr val="000000"/>
                </a:solidFill>
                <a:latin typeface="Times New Roman" pitchFamily="18" charset="0"/>
                <a:ea typeface="Arial Cyr"/>
                <a:cs typeface="Times New Roman" pitchFamily="18" charset="0"/>
              </a:defRPr>
            </a:pPr>
            <a:endParaRPr lang="ru-RU"/>
          </a:p>
        </c:txPr>
        <c:crossAx val="143033608"/>
        <c:crosses val="autoZero"/>
        <c:crossBetween val="between"/>
      </c:valAx>
      <c:spPr>
        <a:noFill/>
        <a:ln w="25400">
          <a:noFill/>
        </a:ln>
      </c:spPr>
    </c:plotArea>
    <c:plotVisOnly val="1"/>
    <c:dispBlanksAs val="gap"/>
    <c:showDLblsOverMax val="0"/>
  </c:chart>
  <c:spPr>
    <a:solidFill>
      <a:srgbClr val="FFFFFF"/>
    </a:solidFill>
    <a:ln w="3175">
      <a:noFill/>
      <a:prstDash val="solid"/>
    </a:ln>
  </c:spPr>
  <c:txPr>
    <a:bodyPr/>
    <a:lstStyle/>
    <a:p>
      <a:pPr>
        <a:defRPr sz="1200" b="0"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sz="1100"/>
            </a:pPr>
            <a:r>
              <a:rPr lang="ru-RU" sz="1100"/>
              <a:t>Удельный вес наиболее значимых доходов в струкуре консолидированного бюджета ЧР в 2013 году</a:t>
            </a:r>
          </a:p>
        </c:rich>
      </c:tx>
      <c:layout>
        <c:manualLayout>
          <c:xMode val="edge"/>
          <c:yMode val="edge"/>
          <c:x val="0.21673971138428644"/>
          <c:y val="0"/>
        </c:manualLayout>
      </c:layout>
      <c:overlay val="0"/>
      <c:spPr>
        <a:noFill/>
        <a:ln>
          <a:noFill/>
        </a:ln>
        <a:effectLst/>
      </c:spPr>
    </c:title>
    <c:autoTitleDeleted val="0"/>
    <c:view3D>
      <c:rotX val="30"/>
      <c:rotY val="152"/>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55977856258335E-2"/>
          <c:y val="0.10714338603204523"/>
          <c:w val="0.70694184338662636"/>
          <c:h val="0.68497167259126934"/>
        </c:manualLayout>
      </c:layout>
      <c:pie3DChart>
        <c:varyColors val="1"/>
        <c:ser>
          <c:idx val="0"/>
          <c:order val="0"/>
          <c:tx>
            <c:strRef>
              <c:f>Лист1!$I$8</c:f>
              <c:strCache>
                <c:ptCount val="1"/>
                <c:pt idx="0">
                  <c:v>Удельный вес наиболее значимых доходов в струкуре консолидированного бюджета ЧР в 2013 году
</c:v>
                </c:pt>
              </c:strCache>
            </c:strRef>
          </c:tx>
          <c:explosion val="3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3"/>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4"/>
            <c:bubble3D val="0"/>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5"/>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6"/>
            <c:bubble3D val="0"/>
            <c:spPr>
              <a:gradFill rotWithShape="1">
                <a:gsLst>
                  <a:gs pos="0">
                    <a:schemeClr val="accent1">
                      <a:lumMod val="60000"/>
                      <a:shade val="51000"/>
                      <a:satMod val="130000"/>
                    </a:schemeClr>
                  </a:gs>
                  <a:gs pos="80000">
                    <a:schemeClr val="accent1">
                      <a:lumMod val="60000"/>
                      <a:shade val="93000"/>
                      <a:satMod val="130000"/>
                    </a:schemeClr>
                  </a:gs>
                  <a:gs pos="100000">
                    <a:schemeClr val="accent1">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0.29793159047054324"/>
                  <c:y val="0.13946978873383725"/>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1"/>
              <c:layout>
                <c:manualLayout>
                  <c:x val="2.2230732649599987E-3"/>
                  <c:y val="-0.10742844787422169"/>
                </c:manualLayout>
              </c:layout>
              <c:tx>
                <c:rich>
                  <a:bodyPr/>
                  <a:lstStyle/>
                  <a:p>
                    <a:r>
                      <a:rPr lang="ru-RU"/>
                      <a:t>НАЛОГ НА ДОХОДЫ ФИЗИЧЕСКИХ ЛИЦ
64,6%</a:t>
                    </a:r>
                  </a:p>
                </c:rich>
              </c:tx>
              <c:dLblPos val="bestFit"/>
              <c:showLegendKey val="0"/>
              <c:showVal val="0"/>
              <c:showCatName val="1"/>
              <c:showSerName val="0"/>
              <c:showPercent val="1"/>
              <c:showBubbleSize val="0"/>
              <c:extLst>
                <c:ext xmlns:c15="http://schemas.microsoft.com/office/drawing/2012/chart" uri="{CE6537A1-D6FC-4f65-9D91-7224C49458BB}">
                  <c15:layout/>
                </c:ext>
              </c:extLst>
            </c:dLbl>
            <c:dLbl>
              <c:idx val="2"/>
              <c:layout>
                <c:manualLayout>
                  <c:x val="2.7352082599982865E-2"/>
                  <c:y val="-7.1253719213976191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3"/>
              <c:layout>
                <c:manualLayout>
                  <c:x val="7.8010411712966507E-2"/>
                  <c:y val="-0.13852347403942927"/>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4"/>
              <c:layout>
                <c:manualLayout>
                  <c:x val="0.1293964657410874"/>
                  <c:y val="-5.7674398251706067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5"/>
              <c:layout>
                <c:manualLayout>
                  <c:x val="0.14392017406162017"/>
                  <c:y val="1.2348999853279089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6"/>
              <c:layout>
                <c:manualLayout>
                  <c:x val="-5.3802884473753983E-2"/>
                  <c:y val="5.9093214034744511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vert="horz"/>
              <a:lstStyle/>
              <a:p>
                <a:pPr>
                  <a:defRPr sz="800" b="1"/>
                </a:pPr>
                <a:endParaRPr lang="ru-RU"/>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(Лист1!$I$9,Лист1!$I$10,Лист1!$I$11,Лист1!$I$12,Лист1!$I$13,Лист1!$I$14,Лист1!$I$15)</c:f>
              <c:strCache>
                <c:ptCount val="7"/>
                <c:pt idx="0">
                  <c:v>НАЛОГ НА ПРИБЫЛЬ ОРГАНИЗАЦИЙ</c:v>
                </c:pt>
                <c:pt idx="1">
                  <c:v>НАЛОГ НА ДОХОДЫ ФИЗИЧЕСКИХ ЛИЦ</c:v>
                </c:pt>
                <c:pt idx="2">
                  <c:v>НАЛОГИ НА ТОВАРЫ (РАБОТЫ, УСЛУГИ), РЕАЛИЗУЕМЫЕ НА ТЕРРИТОРИИ РОССИЙСКОЙ ФЕДЕРАЦИИ</c:v>
                </c:pt>
                <c:pt idx="3">
                  <c:v>НАЛОГИ НА СОВОКУПНЫЙ ДОХОД</c:v>
                </c:pt>
                <c:pt idx="4">
                  <c:v>НАЛОГИ НА ИМУЩЕСТВО</c:v>
                </c:pt>
                <c:pt idx="5">
                  <c:v>ДОХОДЫ ОТ ИСПОЛЬЗОВАНИЯ ИМУЩЕСТВА, НАХОДЯЩЕГОСЯ В ГОСУДАРСТВЕННОЙ И МУНИЦИПАЛЬНОЙ СОБСТВЕННОСТИ</c:v>
                </c:pt>
                <c:pt idx="6">
                  <c:v>ДОХОДЫ ОТ ОКАЗАНИЯ ПЛАТНЫХ УСЛУГ И КОМПЕНСАЦИИ ЗАТРАТ ГОСУДАРСТВА</c:v>
                </c:pt>
              </c:strCache>
            </c:strRef>
          </c:cat>
          <c:val>
            <c:numRef>
              <c:f>(Лист1!$J$9,Лист1!$J$10,Лист1!$J$11,Лист1!$J$12,Лист1!$J$13,Лист1!$J$14,Лист1!$J$15)</c:f>
              <c:numCache>
                <c:formatCode>#,##0.00</c:formatCode>
                <c:ptCount val="7"/>
                <c:pt idx="0">
                  <c:v>3.9733310449517436</c:v>
                </c:pt>
                <c:pt idx="1">
                  <c:v>64.6333809126143</c:v>
                </c:pt>
                <c:pt idx="2">
                  <c:v>19.951580702594967</c:v>
                </c:pt>
                <c:pt idx="3">
                  <c:v>0.96242999045878397</c:v>
                </c:pt>
                <c:pt idx="4">
                  <c:v>7.6640974247428231</c:v>
                </c:pt>
                <c:pt idx="5">
                  <c:v>1.3743854210769362</c:v>
                </c:pt>
                <c:pt idx="6">
                  <c:v>0.21327643153595016</c:v>
                </c:pt>
              </c:numCache>
            </c:numRef>
          </c:val>
        </c:ser>
        <c:dLbls>
          <c:dLblPos val="bestFit"/>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2375200994612515"/>
          <c:y val="3.6748702948489559E-2"/>
        </c:manualLayout>
      </c:layout>
      <c:overlay val="0"/>
      <c:spPr>
        <a:noFill/>
        <a:ln w="25400">
          <a:noFill/>
        </a:ln>
      </c:spPr>
      <c:txPr>
        <a:bodyPr/>
        <a:lstStyle/>
        <a:p>
          <a:pPr>
            <a:defRPr sz="1100" b="1"/>
          </a:pPr>
          <a:endParaRPr lang="ru-RU"/>
        </a:p>
      </c:txPr>
    </c:title>
    <c:autoTitleDeleted val="0"/>
    <c:plotArea>
      <c:layout>
        <c:manualLayout>
          <c:layoutTarget val="inner"/>
          <c:xMode val="edge"/>
          <c:yMode val="edge"/>
          <c:x val="0.19063201107197528"/>
          <c:y val="0.20708474418419007"/>
          <c:w val="0.79411849183697136"/>
          <c:h val="0.62397903181815173"/>
        </c:manualLayout>
      </c:layout>
      <c:lineChart>
        <c:grouping val="standard"/>
        <c:varyColors val="0"/>
        <c:ser>
          <c:idx val="0"/>
          <c:order val="0"/>
          <c:tx>
            <c:strRef>
              <c:f>Лист1!$A$2</c:f>
              <c:strCache>
                <c:ptCount val="1"/>
                <c:pt idx="0">
                  <c:v>Динамика увеличения расходов консолидированного бюджета ЧР</c:v>
                </c:pt>
              </c:strCache>
            </c:strRef>
          </c:tx>
          <c:spPr>
            <a:ln w="38100">
              <a:solidFill>
                <a:srgbClr val="000080"/>
              </a:solidFill>
              <a:prstDash val="solid"/>
            </a:ln>
          </c:spPr>
          <c:marker>
            <c:symbol val="diamond"/>
            <c:size val="9"/>
            <c:spPr>
              <a:solidFill>
                <a:srgbClr val="000080"/>
              </a:solidFill>
              <a:ln>
                <a:solidFill>
                  <a:srgbClr val="000080"/>
                </a:solidFill>
                <a:prstDash val="solid"/>
              </a:ln>
            </c:spPr>
          </c:marker>
          <c:dLbls>
            <c:dLbl>
              <c:idx val="0"/>
              <c:layout>
                <c:manualLayout>
                  <c:x val="-5.276435971819312E-2"/>
                  <c:y val="4.477901878631385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0765387843315799"/>
                  <c:y val="-7.184853469810516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6618483215913798E-2"/>
                  <c:y val="-4.003196177346382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7181433899709984E-2"/>
                  <c:y val="4.420007049453029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16269506837961045"/>
                  <c:y val="-2.559589409233511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10140349260723733"/>
                  <c:y val="7.4844458954186149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1.3163734114170322E-2"/>
                  <c:y val="7.937206293998286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5400">
                <a:noFill/>
              </a:ln>
            </c:spPr>
            <c:txPr>
              <a:bodyPr/>
              <a:lstStyle/>
              <a:p>
                <a:pPr>
                  <a:defRPr sz="1000"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(Лист1!$B$5:$I$5,Лист1!$J$5)</c:f>
              <c:strCache>
                <c:ptCount val="7"/>
                <c:pt idx="0">
                  <c:v>2007г.</c:v>
                </c:pt>
                <c:pt idx="1">
                  <c:v>2008г.</c:v>
                </c:pt>
                <c:pt idx="2">
                  <c:v>2009г.</c:v>
                </c:pt>
                <c:pt idx="3">
                  <c:v>2010г.</c:v>
                </c:pt>
                <c:pt idx="4">
                  <c:v>2011г.</c:v>
                </c:pt>
                <c:pt idx="5">
                  <c:v>2012г.</c:v>
                </c:pt>
                <c:pt idx="6">
                  <c:v>2013г.</c:v>
                </c:pt>
              </c:strCache>
            </c:strRef>
          </c:cat>
          <c:val>
            <c:numRef>
              <c:f>(Лист1!$B$6:$I$6,Лист1!$J$6)</c:f>
              <c:numCache>
                <c:formatCode>#,##0.0</c:formatCode>
                <c:ptCount val="7"/>
                <c:pt idx="0">
                  <c:v>60600571.274769999</c:v>
                </c:pt>
                <c:pt idx="1">
                  <c:v>64884846.273809999</c:v>
                </c:pt>
                <c:pt idx="2">
                  <c:v>60600572.274769999</c:v>
                </c:pt>
                <c:pt idx="3">
                  <c:v>60600573.274769999</c:v>
                </c:pt>
                <c:pt idx="4">
                  <c:v>80791844.317520007</c:v>
                </c:pt>
                <c:pt idx="5">
                  <c:v>77531881.520510003</c:v>
                </c:pt>
                <c:pt idx="6">
                  <c:v>65694676.238789998</c:v>
                </c:pt>
              </c:numCache>
            </c:numRef>
          </c:val>
          <c:smooth val="0"/>
        </c:ser>
        <c:dLbls>
          <c:showLegendKey val="0"/>
          <c:showVal val="0"/>
          <c:showCatName val="0"/>
          <c:showSerName val="0"/>
          <c:showPercent val="0"/>
          <c:showBubbleSize val="0"/>
        </c:dLbls>
        <c:marker val="1"/>
        <c:smooth val="0"/>
        <c:axId val="142794016"/>
        <c:axId val="141455280"/>
      </c:lineChart>
      <c:catAx>
        <c:axId val="142794016"/>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000" b="1"/>
            </a:pPr>
            <a:endParaRPr lang="ru-RU"/>
          </a:p>
        </c:txPr>
        <c:crossAx val="141455280"/>
        <c:crosses val="autoZero"/>
        <c:auto val="0"/>
        <c:lblAlgn val="ctr"/>
        <c:lblOffset val="100"/>
        <c:tickLblSkip val="1"/>
        <c:tickMarkSkip val="1"/>
        <c:noMultiLvlLbl val="0"/>
      </c:catAx>
      <c:valAx>
        <c:axId val="141455280"/>
        <c:scaling>
          <c:orientation val="minMax"/>
        </c:scaling>
        <c:delete val="0"/>
        <c:axPos val="l"/>
        <c:majorGridlines>
          <c:spPr>
            <a:ln w="3175">
              <a:solidFill>
                <a:srgbClr val="000000"/>
              </a:solidFill>
              <a:prstDash val="solid"/>
            </a:ln>
          </c:spPr>
        </c:majorGridlines>
        <c:title>
          <c:tx>
            <c:rich>
              <a:bodyPr/>
              <a:lstStyle/>
              <a:p>
                <a:pPr>
                  <a:defRPr sz="1000" b="1"/>
                </a:pPr>
                <a:r>
                  <a:rPr lang="ru-RU" sz="1000" b="1"/>
                  <a:t>Тыс. руб.</a:t>
                </a:r>
              </a:p>
            </c:rich>
          </c:tx>
          <c:layout>
            <c:manualLayout>
              <c:xMode val="edge"/>
              <c:yMode val="edge"/>
              <c:x val="2.7955573974305842E-2"/>
              <c:y val="0.39782073017660313"/>
            </c:manualLayout>
          </c:layout>
          <c:overlay val="0"/>
          <c:spPr>
            <a:noFill/>
            <a:ln w="25400">
              <a:noFill/>
            </a:ln>
          </c:spPr>
        </c:title>
        <c:numFmt formatCode="#,##0" sourceLinked="0"/>
        <c:majorTickMark val="out"/>
        <c:minorTickMark val="none"/>
        <c:tickLblPos val="nextTo"/>
        <c:spPr>
          <a:ln w="3175">
            <a:solidFill>
              <a:srgbClr val="000000"/>
            </a:solidFill>
            <a:prstDash val="solid"/>
          </a:ln>
        </c:spPr>
        <c:txPr>
          <a:bodyPr rot="0" vert="horz"/>
          <a:lstStyle/>
          <a:p>
            <a:pPr>
              <a:defRPr sz="1000" b="1"/>
            </a:pPr>
            <a:endParaRPr lang="ru-RU"/>
          </a:p>
        </c:txPr>
        <c:crossAx val="142794016"/>
        <c:crosses val="autoZero"/>
        <c:crossBetween val="between"/>
      </c:valAx>
      <c:spPr>
        <a:noFill/>
        <a:ln w="12700">
          <a:solidFill>
            <a:srgbClr val="808080"/>
          </a:solidFill>
          <a:prstDash val="solid"/>
        </a:ln>
      </c:spPr>
    </c:plotArea>
    <c:plotVisOnly val="1"/>
    <c:dispBlanksAs val="gap"/>
    <c:showDLblsOverMax val="0"/>
  </c:chart>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noFill/>
    </a:ln>
  </c:spPr>
  <c:txPr>
    <a:bodyPr/>
    <a:lstStyle/>
    <a:p>
      <a:pPr>
        <a:defRPr sz="1200" b="0"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sz="1100"/>
            </a:pPr>
            <a:r>
              <a:rPr lang="ru-RU" sz="1100"/>
              <a:t>Расходы консолидированного бюджета за 2013 год по ФКР</a:t>
            </a:r>
          </a:p>
        </c:rich>
      </c:tx>
      <c:layout>
        <c:manualLayout>
          <c:xMode val="edge"/>
          <c:yMode val="edge"/>
          <c:x val="0.18727339905018048"/>
          <c:y val="2.0739749721164699E-3"/>
        </c:manualLayout>
      </c:layout>
      <c:overlay val="0"/>
      <c:spPr>
        <a:noFill/>
        <a:ln>
          <a:noFill/>
        </a:ln>
        <a:effectLst/>
      </c:spPr>
    </c:title>
    <c:autoTitleDeleted val="0"/>
    <c:view3D>
      <c:rotX val="30"/>
      <c:rotY val="139"/>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6861072195246521E-2"/>
          <c:y val="0.205577772062635"/>
          <c:w val="0.68776792410236809"/>
          <c:h val="0.60039523321558064"/>
        </c:manualLayout>
      </c:layout>
      <c:pie3DChart>
        <c:varyColors val="1"/>
        <c:ser>
          <c:idx val="0"/>
          <c:order val="0"/>
          <c:explosion val="17"/>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3"/>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4"/>
            <c:bubble3D val="0"/>
            <c:explosion val="16"/>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5"/>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6"/>
            <c:bubble3D val="0"/>
            <c:spPr>
              <a:gradFill rotWithShape="1">
                <a:gsLst>
                  <a:gs pos="0">
                    <a:schemeClr val="accent1">
                      <a:lumMod val="60000"/>
                      <a:shade val="51000"/>
                      <a:satMod val="130000"/>
                    </a:schemeClr>
                  </a:gs>
                  <a:gs pos="80000">
                    <a:schemeClr val="accent1">
                      <a:lumMod val="60000"/>
                      <a:shade val="93000"/>
                      <a:satMod val="130000"/>
                    </a:schemeClr>
                  </a:gs>
                  <a:gs pos="100000">
                    <a:schemeClr val="accent1">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7"/>
            <c:bubble3D val="0"/>
            <c:spPr>
              <a:gradFill rotWithShape="1">
                <a:gsLst>
                  <a:gs pos="0">
                    <a:schemeClr val="accent2">
                      <a:lumMod val="60000"/>
                      <a:shade val="51000"/>
                      <a:satMod val="130000"/>
                    </a:schemeClr>
                  </a:gs>
                  <a:gs pos="80000">
                    <a:schemeClr val="accent2">
                      <a:lumMod val="60000"/>
                      <a:shade val="93000"/>
                      <a:satMod val="130000"/>
                    </a:schemeClr>
                  </a:gs>
                  <a:gs pos="100000">
                    <a:schemeClr val="accent2">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8"/>
            <c:bubble3D val="0"/>
            <c:explosion val="29"/>
            <c:spPr>
              <a:gradFill rotWithShape="1">
                <a:gsLst>
                  <a:gs pos="0">
                    <a:schemeClr val="accent3">
                      <a:lumMod val="60000"/>
                      <a:shade val="51000"/>
                      <a:satMod val="130000"/>
                    </a:schemeClr>
                  </a:gs>
                  <a:gs pos="80000">
                    <a:schemeClr val="accent3">
                      <a:lumMod val="60000"/>
                      <a:shade val="93000"/>
                      <a:satMod val="130000"/>
                    </a:schemeClr>
                  </a:gs>
                  <a:gs pos="100000">
                    <a:schemeClr val="accent3">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9"/>
            <c:bubble3D val="0"/>
            <c:spPr>
              <a:gradFill rotWithShape="1">
                <a:gsLst>
                  <a:gs pos="0">
                    <a:schemeClr val="accent4">
                      <a:lumMod val="60000"/>
                      <a:shade val="51000"/>
                      <a:satMod val="130000"/>
                    </a:schemeClr>
                  </a:gs>
                  <a:gs pos="80000">
                    <a:schemeClr val="accent4">
                      <a:lumMod val="60000"/>
                      <a:shade val="93000"/>
                      <a:satMod val="130000"/>
                    </a:schemeClr>
                  </a:gs>
                  <a:gs pos="100000">
                    <a:schemeClr val="accent4">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10"/>
            <c:bubble3D val="0"/>
            <c:spPr>
              <a:gradFill rotWithShape="1">
                <a:gsLst>
                  <a:gs pos="0">
                    <a:schemeClr val="accent5">
                      <a:lumMod val="60000"/>
                      <a:shade val="51000"/>
                      <a:satMod val="130000"/>
                    </a:schemeClr>
                  </a:gs>
                  <a:gs pos="80000">
                    <a:schemeClr val="accent5">
                      <a:lumMod val="60000"/>
                      <a:shade val="93000"/>
                      <a:satMod val="130000"/>
                    </a:schemeClr>
                  </a:gs>
                  <a:gs pos="100000">
                    <a:schemeClr val="accent5">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11"/>
            <c:bubble3D val="0"/>
            <c:spPr>
              <a:gradFill rotWithShape="1">
                <a:gsLst>
                  <a:gs pos="0">
                    <a:schemeClr val="accent6">
                      <a:lumMod val="60000"/>
                      <a:shade val="51000"/>
                      <a:satMod val="130000"/>
                    </a:schemeClr>
                  </a:gs>
                  <a:gs pos="80000">
                    <a:schemeClr val="accent6">
                      <a:lumMod val="60000"/>
                      <a:shade val="93000"/>
                      <a:satMod val="130000"/>
                    </a:schemeClr>
                  </a:gs>
                  <a:gs pos="100000">
                    <a:schemeClr val="accent6">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12"/>
            <c:bubble3D val="0"/>
            <c:spPr>
              <a:gradFill rotWithShape="1">
                <a:gsLst>
                  <a:gs pos="0">
                    <a:schemeClr val="accent1">
                      <a:lumMod val="80000"/>
                      <a:lumOff val="20000"/>
                      <a:shade val="51000"/>
                      <a:satMod val="130000"/>
                    </a:schemeClr>
                  </a:gs>
                  <a:gs pos="80000">
                    <a:schemeClr val="accent1">
                      <a:lumMod val="80000"/>
                      <a:lumOff val="20000"/>
                      <a:shade val="93000"/>
                      <a:satMod val="130000"/>
                    </a:schemeClr>
                  </a:gs>
                  <a:gs pos="100000">
                    <a:schemeClr val="accent1">
                      <a:lumMod val="80000"/>
                      <a:lumOff val="2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596075589874792E-2"/>
                  <c:y val="0.14336931652370666"/>
                </c:manualLayout>
              </c:layout>
              <c:tx>
                <c:rich>
                  <a:bodyPr/>
                  <a:lstStyle/>
                  <a:p>
                    <a:r>
                      <a:rPr lang="ru-RU"/>
                      <a:t>Общегосударственные вопросы
6%</a:t>
                    </a:r>
                  </a:p>
                </c:rich>
              </c:tx>
              <c:dLblPos val="bestFit"/>
              <c:showLegendKey val="0"/>
              <c:showVal val="0"/>
              <c:showCatName val="1"/>
              <c:showSerName val="0"/>
              <c:showPercent val="1"/>
              <c:showBubbleSize val="0"/>
              <c:extLst>
                <c:ext xmlns:c15="http://schemas.microsoft.com/office/drawing/2012/chart" uri="{CE6537A1-D6FC-4f65-9D91-7224C49458BB}">
                  <c15:layout/>
                </c:ext>
              </c:extLst>
            </c:dLbl>
            <c:dLbl>
              <c:idx val="1"/>
              <c:layout>
                <c:manualLayout>
                  <c:x val="-2.727640898211043E-2"/>
                  <c:y val="0.11529509902817403"/>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2"/>
              <c:layout>
                <c:manualLayout>
                  <c:x val="-0.20184383695300198"/>
                  <c:y val="3.4119846543974694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3"/>
              <c:layout>
                <c:manualLayout>
                  <c:x val="-6.3030295009268128E-2"/>
                  <c:y val="9.9120678481925281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4"/>
              <c:layout>
                <c:manualLayout>
                  <c:x val="-1.1313129873458378E-2"/>
                  <c:y val="9.5923237240572959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5"/>
              <c:layout>
                <c:manualLayout>
                  <c:x val="-2.5770428433372711E-2"/>
                  <c:y val="-0.16306954692095207"/>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14478685708149897"/>
                      <c:h val="0.22885442332062525"/>
                    </c:manualLayout>
                  </c15:layout>
                </c:ext>
              </c:extLst>
            </c:dLbl>
            <c:dLbl>
              <c:idx val="6"/>
              <c:layout>
                <c:manualLayout>
                  <c:x val="-2.9820646949357904E-2"/>
                  <c:y val="-9.7608212749002929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7"/>
              <c:layout>
                <c:manualLayout>
                  <c:x val="-5.6989340951730333E-2"/>
                  <c:y val="-2.8776869129300959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8"/>
              <c:layout>
                <c:manualLayout>
                  <c:x val="0.1181340789396923"/>
                  <c:y val="-9.1198665321683345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9"/>
              <c:layout>
                <c:manualLayout>
                  <c:x val="0.14082879659370384"/>
                  <c:y val="-0.19127022305491556"/>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10"/>
              <c:layout>
                <c:manualLayout>
                  <c:x val="0.12599463931259819"/>
                  <c:y val="-0.14567804811179674"/>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11"/>
              <c:layout>
                <c:manualLayout>
                  <c:x val="0.17126901604817904"/>
                  <c:y val="-2.2613309738382437E-3"/>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12"/>
              <c:layout>
                <c:manualLayout>
                  <c:x val="0.16967493580643769"/>
                  <c:y val="0.15026511007498225"/>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vert="horz"/>
              <a:lstStyle/>
              <a:p>
                <a:pPr>
                  <a:defRPr b="1"/>
                </a:pPr>
                <a:endParaRPr lang="ru-RU"/>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('Консол бюд'!$B$5,'Консол бюд'!$B$16,'Консол бюд'!$B$18,'Консол бюд'!$B$22,'Консол бюд'!$B$33,'Консол бюд'!$B$39,'Консол бюд'!$B$43,'Консол бюд'!$B$52,'Консол бюд'!$B$55,'Консол бюд'!$B$62,'Консол бюд'!$B$68,'Консол бюд'!$B$73,'Консол бюд'!$B$77)</c:f>
              <c:strCache>
                <c:ptCount val="13"/>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Охрана окружающей среды</c:v>
                </c:pt>
                <c:pt idx="6">
                  <c:v>Образование</c:v>
                </c:pt>
                <c:pt idx="7">
                  <c:v>Культура, кинематография </c:v>
                </c:pt>
                <c:pt idx="8">
                  <c:v>Здравоохранение</c:v>
                </c:pt>
                <c:pt idx="9">
                  <c:v>Социальная политика</c:v>
                </c:pt>
                <c:pt idx="10">
                  <c:v>Физическая культура и спорт</c:v>
                </c:pt>
                <c:pt idx="11">
                  <c:v>Средства массовой информации</c:v>
                </c:pt>
                <c:pt idx="12">
                  <c:v>Обслуживание государственного и муниципального долга</c:v>
                </c:pt>
              </c:strCache>
            </c:strRef>
          </c:cat>
          <c:val>
            <c:numRef>
              <c:f>('Консол бюд'!$G$5,'Консол бюд'!$G$16,'Консол бюд'!$G$18,'Консол бюд'!$G$22,'Консол бюд'!$G$33,'Консол бюд'!$G$39,'Консол бюд'!$G$43,'Консол бюд'!$G$52,'Консол бюд'!$G$55,'Консол бюд'!$G$62,'Консол бюд'!$G$68,'Консол бюд'!$G$73,'Консол бюд'!$G$77)</c:f>
              <c:numCache>
                <c:formatCode>#,##0.0</c:formatCode>
                <c:ptCount val="13"/>
                <c:pt idx="0">
                  <c:v>6010759.6780000003</c:v>
                </c:pt>
                <c:pt idx="1">
                  <c:v>52321.857000000004</c:v>
                </c:pt>
                <c:pt idx="2">
                  <c:v>378648.95899999997</c:v>
                </c:pt>
                <c:pt idx="3">
                  <c:v>11150602.859000001</c:v>
                </c:pt>
                <c:pt idx="4">
                  <c:v>3673537.6209999998</c:v>
                </c:pt>
                <c:pt idx="5">
                  <c:v>111539.857</c:v>
                </c:pt>
                <c:pt idx="6">
                  <c:v>21739220.497000001</c:v>
                </c:pt>
                <c:pt idx="7">
                  <c:v>1824280.7780000002</c:v>
                </c:pt>
                <c:pt idx="8">
                  <c:v>8128057.4550000001</c:v>
                </c:pt>
                <c:pt idx="9">
                  <c:v>9822306.0620000008</c:v>
                </c:pt>
                <c:pt idx="10">
                  <c:v>1715355.9920000001</c:v>
                </c:pt>
                <c:pt idx="11">
                  <c:v>946168.26699999999</c:v>
                </c:pt>
                <c:pt idx="12">
                  <c:v>141876.33600000001</c:v>
                </c:pt>
              </c:numCache>
            </c:numRef>
          </c:val>
        </c:ser>
        <c:dLbls>
          <c:dLblPos val="out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738099546749601"/>
          <c:y val="0"/>
        </c:manualLayout>
      </c:layout>
      <c:overlay val="0"/>
      <c:spPr>
        <a:noFill/>
        <a:ln>
          <a:noFill/>
        </a:ln>
        <a:effectLst/>
      </c:spPr>
      <c:txPr>
        <a:bodyPr rot="0" vert="horz"/>
        <a:lstStyle/>
        <a:p>
          <a:pPr>
            <a:defRPr sz="1100"/>
          </a:pPr>
          <a:endParaRPr lang="ru-RU"/>
        </a:p>
      </c:txPr>
    </c:title>
    <c:autoTitleDeleted val="0"/>
    <c:view3D>
      <c:rotX val="30"/>
      <c:rotY val="151"/>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0276916213907271E-2"/>
          <c:y val="0.19528529312982795"/>
          <c:w val="0.72082317342614377"/>
          <c:h val="0.65196750880073651"/>
        </c:manualLayout>
      </c:layout>
      <c:pie3DChart>
        <c:varyColors val="1"/>
        <c:ser>
          <c:idx val="0"/>
          <c:order val="0"/>
          <c:tx>
            <c:strRef>
              <c:f>'Конс бюдж'!$A$1:$G$1</c:f>
              <c:strCache>
                <c:ptCount val="1"/>
                <c:pt idx="0">
                  <c:v>Расходы консолидированного бюджета за 2013 год по КОСГУ</c:v>
                </c:pt>
              </c:strCache>
            </c:strRef>
          </c:tx>
          <c:explosion val="25"/>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3"/>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4"/>
            <c:bubble3D val="0"/>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5"/>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6"/>
            <c:bubble3D val="0"/>
            <c:spPr>
              <a:gradFill rotWithShape="1">
                <a:gsLst>
                  <a:gs pos="0">
                    <a:schemeClr val="accent1">
                      <a:lumMod val="60000"/>
                      <a:shade val="51000"/>
                      <a:satMod val="130000"/>
                    </a:schemeClr>
                  </a:gs>
                  <a:gs pos="80000">
                    <a:schemeClr val="accent1">
                      <a:lumMod val="60000"/>
                      <a:shade val="93000"/>
                      <a:satMod val="130000"/>
                    </a:schemeClr>
                  </a:gs>
                  <a:gs pos="100000">
                    <a:schemeClr val="accent1">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7"/>
            <c:bubble3D val="0"/>
            <c:spPr>
              <a:gradFill rotWithShape="1">
                <a:gsLst>
                  <a:gs pos="0">
                    <a:schemeClr val="accent2">
                      <a:lumMod val="60000"/>
                      <a:shade val="51000"/>
                      <a:satMod val="130000"/>
                    </a:schemeClr>
                  </a:gs>
                  <a:gs pos="80000">
                    <a:schemeClr val="accent2">
                      <a:lumMod val="60000"/>
                      <a:shade val="93000"/>
                      <a:satMod val="130000"/>
                    </a:schemeClr>
                  </a:gs>
                  <a:gs pos="100000">
                    <a:schemeClr val="accent2">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8"/>
            <c:bubble3D val="0"/>
            <c:spPr>
              <a:gradFill rotWithShape="1">
                <a:gsLst>
                  <a:gs pos="0">
                    <a:schemeClr val="accent3">
                      <a:lumMod val="60000"/>
                      <a:shade val="51000"/>
                      <a:satMod val="130000"/>
                    </a:schemeClr>
                  </a:gs>
                  <a:gs pos="80000">
                    <a:schemeClr val="accent3">
                      <a:lumMod val="60000"/>
                      <a:shade val="93000"/>
                      <a:satMod val="130000"/>
                    </a:schemeClr>
                  </a:gs>
                  <a:gs pos="100000">
                    <a:schemeClr val="accent3">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9.9574020377329903E-2"/>
                  <c:y val="5.0094911121891753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1"/>
              <c:layout>
                <c:manualLayout>
                  <c:x val="0.11117049706039552"/>
                  <c:y val="0.12715005411053465"/>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2"/>
              <c:layout>
                <c:manualLayout>
                  <c:x val="0"/>
                  <c:y val="0.15514572526775375"/>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3"/>
              <c:layout>
                <c:manualLayout>
                  <c:x val="-5.4145284217880035E-2"/>
                  <c:y val="3.3884390043661602E-3"/>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4"/>
              <c:layout>
                <c:manualLayout>
                  <c:x val="0.17810005176397295"/>
                  <c:y val="5.6872037914691927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5"/>
              <c:layout>
                <c:manualLayout>
                  <c:x val="0.13254943880277925"/>
                  <c:y val="6.2602530133970227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6"/>
              <c:layout>
                <c:manualLayout>
                  <c:x val="4.8208082755021739E-2"/>
                  <c:y val="3.9317709693871147E-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1201068947087119"/>
                      <c:h val="0.13399684044233803"/>
                    </c:manualLayout>
                  </c15:layout>
                </c:ext>
              </c:extLst>
            </c:dLbl>
            <c:dLbl>
              <c:idx val="7"/>
              <c:layout>
                <c:manualLayout>
                  <c:x val="4.0552317384698909E-2"/>
                  <c:y val="6.6455200208978618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8"/>
              <c:layout>
                <c:manualLayout>
                  <c:x val="5.3119936704865235E-2"/>
                  <c:y val="7.0333743827045311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vert="horz"/>
              <a:lstStyle/>
              <a:p>
                <a:pPr>
                  <a:defRPr b="1"/>
                </a:pPr>
                <a:endParaRPr lang="ru-RU"/>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('Конс бюдж'!$B$6,'Конс бюдж'!$B$10,'Конс бюдж'!$B$17,'Конс бюдж'!$B$19,'Конс бюдж'!$B$22,'Конс бюдж'!$B$24,'Конс бюдж'!$B$28,'Конс бюдж'!$B$29,'Конс бюдж'!$B$32)</c:f>
              <c:strCache>
                <c:ptCount val="9"/>
                <c:pt idx="0">
                  <c:v>Оплата труда и начисления на оплату труда</c:v>
                </c:pt>
                <c:pt idx="1">
                  <c:v>Приобретение услуг</c:v>
                </c:pt>
                <c:pt idx="2">
                  <c:v>Обслуживание государственного (муниципального) долга</c:v>
                </c:pt>
                <c:pt idx="3">
                  <c:v>Безвозмездные и безвозвратные перечисления организациям</c:v>
                </c:pt>
                <c:pt idx="4">
                  <c:v>Безвозмездные и безвозвратные перечисления бюджетам</c:v>
                </c:pt>
                <c:pt idx="5">
                  <c:v>Социальное обеспечение</c:v>
                </c:pt>
                <c:pt idx="6">
                  <c:v>Прочие расходы</c:v>
                </c:pt>
                <c:pt idx="7">
                  <c:v>Поступление нефинансовых активов</c:v>
                </c:pt>
                <c:pt idx="8">
                  <c:v>Поступление финансовых активов</c:v>
                </c:pt>
              </c:strCache>
            </c:strRef>
          </c:cat>
          <c:val>
            <c:numRef>
              <c:f>('Конс бюдж'!$E$6,'Конс бюдж'!$E$10,'Конс бюдж'!$E$17,'Конс бюдж'!$E$19,'Конс бюдж'!$E$22,'Конс бюдж'!$E$24,'Конс бюдж'!$E$28,'Конс бюдж'!$E$29,'Конс бюдж'!$E$32)</c:f>
              <c:numCache>
                <c:formatCode>#,##0.0</c:formatCode>
                <c:ptCount val="9"/>
                <c:pt idx="0">
                  <c:v>5812644.4299999997</c:v>
                </c:pt>
                <c:pt idx="1">
                  <c:v>11451154.673999999</c:v>
                </c:pt>
                <c:pt idx="2">
                  <c:v>141876.33600000001</c:v>
                </c:pt>
                <c:pt idx="3">
                  <c:v>24915727.048</c:v>
                </c:pt>
                <c:pt idx="4">
                  <c:v>609641.79299999995</c:v>
                </c:pt>
                <c:pt idx="5">
                  <c:v>11564475.513</c:v>
                </c:pt>
                <c:pt idx="6">
                  <c:v>621421.94200000004</c:v>
                </c:pt>
                <c:pt idx="7">
                  <c:v>10449462.293</c:v>
                </c:pt>
                <c:pt idx="8">
                  <c:v>128272.2</c:v>
                </c:pt>
              </c:numCache>
            </c:numRef>
          </c:val>
        </c:ser>
        <c:dLbls>
          <c:dLblPos val="out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a:pPr>
            <a:r>
              <a:rPr lang="ru-RU" sz="1100" b="1"/>
              <a:t>Соотношение капитальных и текущих расходов консолидированного бюджета Чеченской Республики в динаимке лет</a:t>
            </a:r>
          </a:p>
        </c:rich>
      </c:tx>
      <c:layout>
        <c:manualLayout>
          <c:xMode val="edge"/>
          <c:yMode val="edge"/>
          <c:x val="0.14522275043697935"/>
          <c:y val="1.2987085899629585E-2"/>
        </c:manualLayout>
      </c:layout>
      <c:overlay val="0"/>
      <c:spPr>
        <a:noFill/>
        <a:ln w="25400">
          <a:noFill/>
        </a:ln>
      </c:spPr>
    </c:title>
    <c:autoTitleDeleted val="0"/>
    <c:view3D>
      <c:rotX val="15"/>
      <c:hPercent val="41"/>
      <c:rotY val="20"/>
      <c:depthPercent val="100"/>
      <c:rAngAx val="1"/>
    </c:view3D>
    <c:floor>
      <c:thickness val="0"/>
      <c:spPr>
        <a:solidFill>
          <a:srgbClr val="C0C0C0"/>
        </a:solidFill>
        <a:ln w="3175">
          <a:solidFill>
            <a:srgbClr val="000000"/>
          </a:solidFill>
          <a:prstDash val="solid"/>
        </a:ln>
      </c:spPr>
    </c:floor>
    <c:sideWall>
      <c:thickness val="0"/>
      <c:spPr>
        <a:noFill/>
        <a:ln w="12700">
          <a:solidFill>
            <a:srgbClr val="808080"/>
          </a:solidFill>
          <a:prstDash val="solid"/>
        </a:ln>
      </c:spPr>
    </c:sideWall>
    <c:backWall>
      <c:thickness val="0"/>
      <c:spPr>
        <a:noFill/>
        <a:ln w="12700">
          <a:solidFill>
            <a:srgbClr val="808080"/>
          </a:solidFill>
          <a:prstDash val="solid"/>
        </a:ln>
      </c:spPr>
    </c:backWall>
    <c:plotArea>
      <c:layout>
        <c:manualLayout>
          <c:layoutTarget val="inner"/>
          <c:xMode val="edge"/>
          <c:yMode val="edge"/>
          <c:x val="0.15671653212200631"/>
          <c:y val="0.20259765954451545"/>
          <c:w val="0.82238865904024239"/>
          <c:h val="0.65714369057387734"/>
        </c:manualLayout>
      </c:layout>
      <c:bar3DChart>
        <c:barDir val="col"/>
        <c:grouping val="clustered"/>
        <c:varyColors val="0"/>
        <c:ser>
          <c:idx val="0"/>
          <c:order val="0"/>
          <c:tx>
            <c:strRef>
              <c:f>'2008'!$A$7</c:f>
              <c:strCache>
                <c:ptCount val="1"/>
                <c:pt idx="0">
                  <c:v>Капитальные расходы</c:v>
                </c:pt>
              </c:strCache>
            </c:strRef>
          </c:tx>
          <c:spPr>
            <a:solidFill>
              <a:srgbClr val="0070C0"/>
            </a:solidFill>
            <a:ln w="12700">
              <a:solidFill>
                <a:srgbClr val="000000"/>
              </a:solidFill>
              <a:prstDash val="solid"/>
            </a:ln>
          </c:spPr>
          <c:invertIfNegative val="0"/>
          <c:dLbls>
            <c:dLbl>
              <c:idx val="0"/>
              <c:layout>
                <c:manualLayout>
                  <c:x val="-5.207035687703216E-4"/>
                  <c:y val="0.21703541602754201"/>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9315234849375173E-4"/>
                  <c:y val="0.2158751065207758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3017197477181025E-3"/>
                  <c:y val="0.22126325118451104"/>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723038351549267E-3"/>
                  <c:y val="0.21682053379691163"/>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1440435617188912E-3"/>
                  <c:y val="0.21675154242083383"/>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0529243546049281E-3"/>
                  <c:y val="0.21964808944336503"/>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4354461550848965E-4"/>
                  <c:y val="-1.7040845100974009E-2"/>
                </c:manualLayout>
              </c:layout>
              <c:tx>
                <c:rich>
                  <a:bodyPr rot="-5400000" vert="horz" anchorCtr="0"/>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rgbClr val="000000"/>
                        </a:solidFill>
                        <a:latin typeface="Times New Roman" panose="02020603050405020304" pitchFamily="18" charset="0"/>
                        <a:ea typeface="Arial Cyr"/>
                        <a:cs typeface="Times New Roman" panose="02020603050405020304" pitchFamily="18" charset="0"/>
                      </a:defRPr>
                    </a:pPr>
                    <a:r>
                      <a:rPr lang="en-US"/>
                      <a:t>9 130 717,4</a:t>
                    </a:r>
                  </a:p>
                </c:rich>
              </c:tx>
              <c:numFmt formatCode="#,##0.0" sourceLinked="0"/>
              <c:spPr>
                <a:noFill/>
                <a:ln w="25400">
                  <a:noFill/>
                </a:ln>
              </c:spP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5400">
                <a:noFill/>
              </a:ln>
            </c:spPr>
            <c:txPr>
              <a:bodyPr rot="-5400000" vert="horz"/>
              <a:lstStyle/>
              <a:p>
                <a:pPr algn="ct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'2008'!$H$7:$H$13</c:f>
              <c:numCache>
                <c:formatCode>General</c:formatCode>
                <c:ptCount val="7"/>
                <c:pt idx="0">
                  <c:v>2007</c:v>
                </c:pt>
                <c:pt idx="1">
                  <c:v>2008</c:v>
                </c:pt>
                <c:pt idx="2">
                  <c:v>2009</c:v>
                </c:pt>
                <c:pt idx="3">
                  <c:v>2010</c:v>
                </c:pt>
                <c:pt idx="4">
                  <c:v>2011</c:v>
                </c:pt>
                <c:pt idx="5">
                  <c:v>2012</c:v>
                </c:pt>
                <c:pt idx="6">
                  <c:v>2013</c:v>
                </c:pt>
              </c:numCache>
            </c:numRef>
          </c:cat>
          <c:val>
            <c:numRef>
              <c:f>('2008'!$D$7,'2008'!$D$11,'2008'!$D$15,'2008'!$D$19,'2008'!$D$23,'2008'!$D$27,'2008'!$D$31)</c:f>
              <c:numCache>
                <c:formatCode>#,##0.0</c:formatCode>
                <c:ptCount val="7"/>
                <c:pt idx="0">
                  <c:v>35722745.799999997</c:v>
                </c:pt>
                <c:pt idx="1">
                  <c:v>30528592.300000001</c:v>
                </c:pt>
                <c:pt idx="2">
                  <c:v>31064035.800000001</c:v>
                </c:pt>
                <c:pt idx="3">
                  <c:v>23430830</c:v>
                </c:pt>
                <c:pt idx="4">
                  <c:v>33384963.199999999</c:v>
                </c:pt>
                <c:pt idx="5">
                  <c:v>26085264.100000001</c:v>
                </c:pt>
                <c:pt idx="6">
                  <c:v>9002445.1999999993</c:v>
                </c:pt>
              </c:numCache>
            </c:numRef>
          </c:val>
        </c:ser>
        <c:ser>
          <c:idx val="1"/>
          <c:order val="1"/>
          <c:tx>
            <c:strRef>
              <c:f>'2008'!$A$6</c:f>
              <c:strCache>
                <c:ptCount val="1"/>
                <c:pt idx="0">
                  <c:v>Текущие расходы</c:v>
                </c:pt>
              </c:strCache>
            </c:strRef>
          </c:tx>
          <c:spPr>
            <a:solidFill>
              <a:srgbClr val="C00000"/>
            </a:solidFill>
            <a:ln w="12700">
              <a:solidFill>
                <a:srgbClr val="000000"/>
              </a:solidFill>
              <a:prstDash val="solid"/>
            </a:ln>
          </c:spPr>
          <c:invertIfNegative val="0"/>
          <c:dLbls>
            <c:dLbl>
              <c:idx val="0"/>
              <c:layout>
                <c:manualLayout>
                  <c:x val="-1.8850628746033612E-4"/>
                  <c:y val="0.21515083341854996"/>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2177302464057662E-3"/>
                  <c:y val="0.21930095101748631"/>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141379715595252E-3"/>
                  <c:y val="0.22112090534137779"/>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6254162259561E-4"/>
                  <c:y val="0.22041572076217739"/>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6453167234838614E-5"/>
                  <c:y val="0.22208405767460884"/>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1.8924276256512712E-3"/>
                  <c:y val="0.22288223063026205"/>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1.8109452736318407E-3"/>
                  <c:y val="0.22458247264546477"/>
                </c:manualLayout>
              </c:layout>
              <c:tx>
                <c:rich>
                  <a:bodyPr/>
                  <a:lstStyle/>
                  <a:p>
                    <a:r>
                      <a:rPr lang="en-US"/>
                      <a:t>56 563 958,2</a:t>
                    </a:r>
                  </a:p>
                </c:rich>
              </c:tx>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5400">
                <a:noFill/>
              </a:ln>
            </c:spPr>
            <c:txPr>
              <a:bodyPr rot="-5400000" vert="horz"/>
              <a:lstStyle/>
              <a:p>
                <a:pPr algn="ct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'2008'!$H$7:$H$13</c:f>
              <c:numCache>
                <c:formatCode>General</c:formatCode>
                <c:ptCount val="7"/>
                <c:pt idx="0">
                  <c:v>2007</c:v>
                </c:pt>
                <c:pt idx="1">
                  <c:v>2008</c:v>
                </c:pt>
                <c:pt idx="2">
                  <c:v>2009</c:v>
                </c:pt>
                <c:pt idx="3">
                  <c:v>2010</c:v>
                </c:pt>
                <c:pt idx="4">
                  <c:v>2011</c:v>
                </c:pt>
                <c:pt idx="5">
                  <c:v>2012</c:v>
                </c:pt>
                <c:pt idx="6">
                  <c:v>2013</c:v>
                </c:pt>
              </c:numCache>
            </c:numRef>
          </c:cat>
          <c:val>
            <c:numRef>
              <c:f>('2008'!$D$6,'2008'!$D$10,'2008'!$D$14,'2008'!$D$18,'2008'!$D$22,'2008'!$D$26,'2008'!$D$30)</c:f>
              <c:numCache>
                <c:formatCode>#,##0.0</c:formatCode>
                <c:ptCount val="7"/>
                <c:pt idx="0">
                  <c:v>24877825.5</c:v>
                </c:pt>
                <c:pt idx="1">
                  <c:v>33403186.300000001</c:v>
                </c:pt>
                <c:pt idx="2">
                  <c:v>42991798.5</c:v>
                </c:pt>
                <c:pt idx="3">
                  <c:v>42289388.899999999</c:v>
                </c:pt>
                <c:pt idx="4">
                  <c:v>47406881.100000001</c:v>
                </c:pt>
                <c:pt idx="5">
                  <c:v>51446617.399999999</c:v>
                </c:pt>
                <c:pt idx="6">
                  <c:v>56563958.200000003</c:v>
                </c:pt>
              </c:numCache>
            </c:numRef>
          </c:val>
        </c:ser>
        <c:dLbls>
          <c:showLegendKey val="0"/>
          <c:showVal val="0"/>
          <c:showCatName val="0"/>
          <c:showSerName val="0"/>
          <c:showPercent val="0"/>
          <c:showBubbleSize val="0"/>
        </c:dLbls>
        <c:gapWidth val="150"/>
        <c:shape val="box"/>
        <c:axId val="141456848"/>
        <c:axId val="141457240"/>
        <c:axId val="0"/>
      </c:bar3DChart>
      <c:catAx>
        <c:axId val="14145684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b="1"/>
            </a:pPr>
            <a:endParaRPr lang="ru-RU"/>
          </a:p>
        </c:txPr>
        <c:crossAx val="141457240"/>
        <c:crosses val="autoZero"/>
        <c:auto val="1"/>
        <c:lblAlgn val="ctr"/>
        <c:lblOffset val="100"/>
        <c:tickLblSkip val="1"/>
        <c:tickMarkSkip val="1"/>
        <c:noMultiLvlLbl val="0"/>
      </c:catAx>
      <c:valAx>
        <c:axId val="141457240"/>
        <c:scaling>
          <c:orientation val="minMax"/>
        </c:scaling>
        <c:delete val="0"/>
        <c:axPos val="l"/>
        <c:majorGridlines>
          <c:spPr>
            <a:ln w="3175">
              <a:solidFill>
                <a:srgbClr val="000000"/>
              </a:solidFill>
              <a:prstDash val="solid"/>
            </a:ln>
          </c:spPr>
        </c:majorGridlines>
        <c:title>
          <c:tx>
            <c:rich>
              <a:bodyPr/>
              <a:lstStyle/>
              <a:p>
                <a:pPr>
                  <a:defRPr b="1"/>
                </a:pPr>
                <a:r>
                  <a:rPr lang="ru-RU" b="1"/>
                  <a:t>Тыс. руб.</a:t>
                </a:r>
              </a:p>
            </c:rich>
          </c:tx>
          <c:layout>
            <c:manualLayout>
              <c:xMode val="edge"/>
              <c:yMode val="edge"/>
              <c:x val="8.2207858346064946E-3"/>
              <c:y val="0.39854054606810507"/>
            </c:manualLayout>
          </c:layout>
          <c:overlay val="0"/>
        </c:title>
        <c:numFmt formatCode="#,##0" sourceLinked="0"/>
        <c:majorTickMark val="out"/>
        <c:minorTickMark val="none"/>
        <c:tickLblPos val="nextTo"/>
        <c:spPr>
          <a:ln w="3175">
            <a:solidFill>
              <a:srgbClr val="000000"/>
            </a:solidFill>
            <a:prstDash val="solid"/>
          </a:ln>
        </c:spPr>
        <c:txPr>
          <a:bodyPr rot="0" vert="horz"/>
          <a:lstStyle/>
          <a:p>
            <a:pPr>
              <a:defRPr b="1"/>
            </a:pPr>
            <a:endParaRPr lang="ru-RU"/>
          </a:p>
        </c:txPr>
        <c:crossAx val="141456848"/>
        <c:crosses val="autoZero"/>
        <c:crossBetween val="between"/>
      </c:valAx>
      <c:spPr>
        <a:noFill/>
        <a:ln w="25400">
          <a:noFill/>
        </a:ln>
      </c:spPr>
    </c:plotArea>
    <c:legend>
      <c:legendPos val="b"/>
      <c:layout>
        <c:manualLayout>
          <c:xMode val="edge"/>
          <c:yMode val="edge"/>
          <c:x val="0.18090307948830639"/>
          <c:y val="0.9194816102532638"/>
          <c:w val="0.63393375359396653"/>
          <c:h val="6.2337662337662358E-2"/>
        </c:manualLayout>
      </c:layout>
      <c:overlay val="0"/>
      <c:spPr>
        <a:noFill/>
        <a:ln w="3175">
          <a:noFill/>
          <a:prstDash val="solid"/>
        </a:ln>
      </c:spPr>
      <c:txPr>
        <a:bodyPr/>
        <a:lstStyle/>
        <a:p>
          <a:pPr>
            <a:defRPr sz="1000" b="1"/>
          </a:pPr>
          <a:endParaRPr lang="ru-RU"/>
        </a:p>
      </c:txPr>
    </c:legend>
    <c:plotVisOnly val="1"/>
    <c:dispBlanksAs val="gap"/>
    <c:showDLblsOverMax val="0"/>
  </c:chart>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noFill/>
    </a:ln>
  </c:spPr>
  <c:txPr>
    <a:bodyPr/>
    <a:lstStyle/>
    <a:p>
      <a:pPr>
        <a:defRPr sz="1000" b="0"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29</Pages>
  <Words>6872</Words>
  <Characters>39171</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Muslim</cp:lastModifiedBy>
  <cp:revision>2</cp:revision>
  <dcterms:created xsi:type="dcterms:W3CDTF">2014-06-23T18:41:00Z</dcterms:created>
  <dcterms:modified xsi:type="dcterms:W3CDTF">2014-06-25T10:48:00Z</dcterms:modified>
</cp:coreProperties>
</file>